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omic Sans MS" w:cs="Comic Sans MS" w:eastAsia="Comic Sans MS" w:hAnsi="Comic Sans MS"/>
          <w:b w:val="1"/>
          <w:sz w:val="36"/>
          <w:szCs w:val="36"/>
          <w:rtl w:val="0"/>
        </w:rPr>
        <w:t xml:space="preserve">Qu’est-ce que l’entropie mange en hiver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Aujourd’hui, j’aimerais vous parler de la notion d’entropie.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 pourquoi je veux le faire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Parce qu’on a commencé à l’utiliser pour le remaniement de TCOD. Je vais vous montrer qu’on peut considérer l’entropie comme une mesure numérique pour quantifier l’hétérogénéité. Plus précisément, plus l’hétérogénéité est élevée, plus grande est l’entropie.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Mais, avant de faire ça, laissez-moi faire remarquer que la notion d’entropie possède en fait plusieurs interprétations intuitives, bien que toutes ces interprétations sont liées entre elles.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 exemple, l’hétérogénéité est liée à la notion d’incertitude, qui vient de la théorie de probabilité. À son tour, l’incertitude est liée au manque d’information, qui est une notion dans la théorie d’information. Dans la théorie de thermodynamique, l’entropie est une mesure de désordre.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J’ai déjà dit que notre section utilise la notion d’entropie pour le remaniement de TCOD. Et plus généralement, on l’utilise à Statistique Canada. On l’utilise pour mettre à jour le Registre des entreprises. Plus précisément, on utilise la notion d’entropie pour quantifier la complexité de structure d’une entreprise, et on veut mettre à jour plus fréquemment les entreprises qui sont plus complexes.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Prochainement, je veux vous rappeler la notion d’incertitude. Et je vais le faire avec une petite histoire.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Imaginez qu’un jour, dans un avenir proche, vous entrez dans le Casino de Statistique Canada. Ensuite, vous vous asseyez à la table d’entropie.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Mais c’est comment le jeu d’entropie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C’est comme suivant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