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995C0BC" w14:textId="77777777" w:rsidR="007C5FEF" w:rsidRPr="007C5FEF" w:rsidRDefault="007C5FEF" w:rsidP="007C5FEF">
      <w:pPr>
        <w:spacing w:before="100" w:beforeAutospacing="1" w:after="100" w:afterAutospacing="1" w:line="240" w:lineRule="auto"/>
        <w:outlineLvl w:val="0"/>
        <w:rPr>
          <w:rFonts w:ascii="Times New Roman" w:eastAsia="Times New Roman" w:hAnsi="Times New Roman" w:cs="Times New Roman"/>
          <w:b/>
          <w:bCs/>
          <w:color w:val="002060"/>
          <w:kern w:val="36"/>
          <w:sz w:val="48"/>
          <w:szCs w:val="48"/>
          <w:lang w:eastAsia="de-DE"/>
        </w:rPr>
      </w:pPr>
      <w:r w:rsidRPr="007C5FEF">
        <w:rPr>
          <w:rFonts w:ascii="Times New Roman" w:eastAsia="Times New Roman" w:hAnsi="Times New Roman" w:cs="Times New Roman"/>
          <w:b/>
          <w:bCs/>
          <w:color w:val="002060"/>
          <w:kern w:val="36"/>
          <w:sz w:val="48"/>
          <w:szCs w:val="48"/>
          <w:lang w:eastAsia="de-DE"/>
        </w:rPr>
        <w:t>Demografisch bundesweit spitze: So zukunftsfähig ist die Grafschaft Bentheim</w:t>
      </w:r>
    </w:p>
    <w:p w14:paraId="610FCA68" w14:textId="77777777" w:rsidR="007C5FEF" w:rsidRPr="007C5FEF" w:rsidRDefault="007C5FEF" w:rsidP="007C5FEF">
      <w:pPr>
        <w:spacing w:before="100" w:beforeAutospacing="1" w:after="100" w:afterAutospacing="1" w:line="240" w:lineRule="auto"/>
        <w:rPr>
          <w:rFonts w:ascii="Times New Roman" w:eastAsia="Times New Roman" w:hAnsi="Times New Roman" w:cs="Times New Roman"/>
          <w:sz w:val="24"/>
          <w:szCs w:val="24"/>
          <w:lang w:eastAsia="de-DE"/>
        </w:rPr>
      </w:pPr>
      <w:r w:rsidRPr="007C5FEF">
        <w:rPr>
          <w:rFonts w:ascii="Times New Roman" w:eastAsia="Times New Roman" w:hAnsi="Times New Roman" w:cs="Times New Roman"/>
          <w:b/>
          <w:bCs/>
          <w:sz w:val="24"/>
          <w:szCs w:val="24"/>
          <w:lang w:eastAsia="de-DE"/>
        </w:rPr>
        <w:t>Die Grafschaft Bentheim gehört bei der demografischen Entwicklung zu den zehn bestplatzierten Regionen Deutschlands. In anderen Bereichen zeigt sich jedoch Nachholbedarf. Das geht aus der im Oktober 2026 veröffentlichten Studie „Die demografische Lage der Nation“ hervor.</w:t>
      </w:r>
    </w:p>
    <w:p w14:paraId="35D4D704" w14:textId="77777777" w:rsidR="007C5FEF" w:rsidRPr="007C5FEF" w:rsidRDefault="007C5FEF" w:rsidP="007C5FEF">
      <w:pPr>
        <w:spacing w:before="100" w:beforeAutospacing="1" w:after="100" w:afterAutospacing="1" w:line="240" w:lineRule="auto"/>
        <w:rPr>
          <w:rFonts w:ascii="Times New Roman" w:eastAsia="Times New Roman" w:hAnsi="Times New Roman" w:cs="Times New Roman"/>
          <w:sz w:val="24"/>
          <w:szCs w:val="24"/>
          <w:lang w:eastAsia="de-DE"/>
        </w:rPr>
      </w:pPr>
      <w:r w:rsidRPr="007C5FEF">
        <w:rPr>
          <w:rFonts w:ascii="Times New Roman" w:eastAsia="Times New Roman" w:hAnsi="Times New Roman" w:cs="Times New Roman"/>
          <w:sz w:val="24"/>
          <w:szCs w:val="24"/>
          <w:lang w:eastAsia="de-DE"/>
        </w:rPr>
        <w:t xml:space="preserve">Das Berlin-Institut für Bevölkerung und Entwicklung und die Wüstenrot Stiftung haben die Zukunftsfähigkeit aller 400 deutschen Landkreise und kreisfreien Städte anhand von 26 Indikatoren aus den Bereichen Demografie, Wirtschaft, Bildung und Soziales untersucht. Die Grafschaft Bentheim erreicht dabei mit der </w:t>
      </w:r>
      <w:r w:rsidRPr="007C5FEF">
        <w:rPr>
          <w:rFonts w:ascii="Times New Roman" w:eastAsia="Times New Roman" w:hAnsi="Times New Roman" w:cs="Times New Roman"/>
          <w:b/>
          <w:bCs/>
          <w:sz w:val="24"/>
          <w:szCs w:val="24"/>
          <w:lang w:eastAsia="de-DE"/>
        </w:rPr>
        <w:t>Gesamtnote 3,33 den bundesweiten Rang 146</w:t>
      </w:r>
      <w:r w:rsidRPr="007C5FEF">
        <w:rPr>
          <w:rFonts w:ascii="Times New Roman" w:eastAsia="Times New Roman" w:hAnsi="Times New Roman" w:cs="Times New Roman"/>
          <w:sz w:val="24"/>
          <w:szCs w:val="24"/>
          <w:lang w:eastAsia="de-DE"/>
        </w:rPr>
        <w:t xml:space="preserve"> und schneidet damit etwas besser ab als der Median aller untersuchten Regionen (3,49).</w:t>
      </w:r>
    </w:p>
    <w:p w14:paraId="4149891F" w14:textId="77777777" w:rsidR="007C5FEF" w:rsidRPr="007C5FEF" w:rsidRDefault="007C5FEF" w:rsidP="007C5FEF">
      <w:pPr>
        <w:spacing w:before="100" w:beforeAutospacing="1" w:after="100" w:afterAutospacing="1" w:line="240" w:lineRule="auto"/>
        <w:outlineLvl w:val="2"/>
        <w:rPr>
          <w:rFonts w:ascii="Times New Roman" w:eastAsia="Times New Roman" w:hAnsi="Times New Roman" w:cs="Times New Roman"/>
          <w:b/>
          <w:bCs/>
          <w:sz w:val="27"/>
          <w:szCs w:val="27"/>
          <w:lang w:eastAsia="de-DE"/>
        </w:rPr>
      </w:pPr>
      <w:r w:rsidRPr="007C5FEF">
        <w:rPr>
          <w:rFonts w:ascii="Times New Roman" w:eastAsia="Times New Roman" w:hAnsi="Times New Roman" w:cs="Times New Roman"/>
          <w:b/>
          <w:bCs/>
          <w:color w:val="002060"/>
          <w:sz w:val="27"/>
          <w:szCs w:val="27"/>
          <w:lang w:eastAsia="de-DE"/>
        </w:rPr>
        <w:t>Demografie: Grafschaft gehört zur bundesweiten Spitzengruppe</w:t>
      </w:r>
    </w:p>
    <w:p w14:paraId="3D1E4DD8" w14:textId="77777777" w:rsidR="007C5FEF" w:rsidRPr="007C5FEF" w:rsidRDefault="007C5FEF" w:rsidP="007C5FEF">
      <w:pPr>
        <w:spacing w:before="100" w:beforeAutospacing="1" w:after="100" w:afterAutospacing="1" w:line="240" w:lineRule="auto"/>
        <w:rPr>
          <w:rFonts w:ascii="Times New Roman" w:eastAsia="Times New Roman" w:hAnsi="Times New Roman" w:cs="Times New Roman"/>
          <w:sz w:val="24"/>
          <w:szCs w:val="24"/>
          <w:lang w:eastAsia="de-DE"/>
        </w:rPr>
      </w:pPr>
      <w:r w:rsidRPr="007C5FEF">
        <w:rPr>
          <w:rFonts w:ascii="Times New Roman" w:eastAsia="Times New Roman" w:hAnsi="Times New Roman" w:cs="Times New Roman"/>
          <w:sz w:val="24"/>
          <w:szCs w:val="24"/>
          <w:lang w:eastAsia="de-DE"/>
        </w:rPr>
        <w:t xml:space="preserve">Mit der </w:t>
      </w:r>
      <w:r w:rsidRPr="007C5FEF">
        <w:rPr>
          <w:rFonts w:ascii="Times New Roman" w:eastAsia="Times New Roman" w:hAnsi="Times New Roman" w:cs="Times New Roman"/>
          <w:b/>
          <w:bCs/>
          <w:sz w:val="24"/>
          <w:szCs w:val="24"/>
          <w:lang w:eastAsia="de-DE"/>
        </w:rPr>
        <w:t>Note 2,33 und Rang 10</w:t>
      </w:r>
      <w:r w:rsidRPr="007C5FEF">
        <w:rPr>
          <w:rFonts w:ascii="Times New Roman" w:eastAsia="Times New Roman" w:hAnsi="Times New Roman" w:cs="Times New Roman"/>
          <w:sz w:val="24"/>
          <w:szCs w:val="24"/>
          <w:lang w:eastAsia="de-DE"/>
        </w:rPr>
        <w:t xml:space="preserve"> gehört die Grafschaft Bentheim im Bereich Demografie zu den bestplatzierten Regionen Deutschlands. Der Landkreis teilt sich diesen Rang mit zwölf weiteren Kreisen. Die vergleichsweise junge Bevölkerungsstruktur trägt wesentlich zum guten Abschneiden bei: 37,0 % der Bevölkerung sind jünger als 35 Jahre, während lediglich 10,2 % älter als 74 Jahre sind. Die durchschnittliche Kinderzahl liegt bei 1,56 je Frau, die Lebenserwartung bei 81,58 Jahren. Zudem profitiert der Landkreis von Wanderungsgewinnen. Besonders positiv fällt die Bevölkerungsprognose aus: </w:t>
      </w:r>
      <w:r w:rsidRPr="007C5FEF">
        <w:rPr>
          <w:rFonts w:ascii="Times New Roman" w:eastAsia="Times New Roman" w:hAnsi="Times New Roman" w:cs="Times New Roman"/>
          <w:b/>
          <w:bCs/>
          <w:sz w:val="24"/>
          <w:szCs w:val="24"/>
          <w:lang w:eastAsia="de-DE"/>
        </w:rPr>
        <w:t>Bis 2045 wird ein Bevölkerungswachstum von rund 3 % erwartet</w:t>
      </w:r>
      <w:r w:rsidRPr="007C5FEF">
        <w:rPr>
          <w:rFonts w:ascii="Times New Roman" w:eastAsia="Times New Roman" w:hAnsi="Times New Roman" w:cs="Times New Roman"/>
          <w:sz w:val="24"/>
          <w:szCs w:val="24"/>
          <w:lang w:eastAsia="de-DE"/>
        </w:rPr>
        <w:t>, während Niedersachsen insgesamt voraussichtlich etwa 2,5 % seiner Bevölkerung verlieren wird.</w:t>
      </w:r>
    </w:p>
    <w:p w14:paraId="4E9D1A4E" w14:textId="77777777" w:rsidR="007C5FEF" w:rsidRPr="007C5FEF" w:rsidRDefault="007C5FEF" w:rsidP="007C5FEF">
      <w:pPr>
        <w:spacing w:before="100" w:beforeAutospacing="1" w:after="100" w:afterAutospacing="1" w:line="240" w:lineRule="auto"/>
        <w:outlineLvl w:val="2"/>
        <w:rPr>
          <w:rFonts w:ascii="Times New Roman" w:eastAsia="Times New Roman" w:hAnsi="Times New Roman" w:cs="Times New Roman"/>
          <w:b/>
          <w:bCs/>
          <w:color w:val="002060"/>
          <w:sz w:val="27"/>
          <w:szCs w:val="27"/>
          <w:lang w:eastAsia="de-DE"/>
        </w:rPr>
      </w:pPr>
      <w:r w:rsidRPr="007C5FEF">
        <w:rPr>
          <w:rFonts w:ascii="Times New Roman" w:eastAsia="Times New Roman" w:hAnsi="Times New Roman" w:cs="Times New Roman"/>
          <w:b/>
          <w:bCs/>
          <w:color w:val="002060"/>
          <w:sz w:val="27"/>
          <w:szCs w:val="27"/>
          <w:lang w:eastAsia="de-DE"/>
        </w:rPr>
        <w:t xml:space="preserve">Wirtschaft: Schwächen </w:t>
      </w:r>
      <w:proofErr w:type="gramStart"/>
      <w:r w:rsidRPr="007C5FEF">
        <w:rPr>
          <w:rFonts w:ascii="Times New Roman" w:eastAsia="Times New Roman" w:hAnsi="Times New Roman" w:cs="Times New Roman"/>
          <w:b/>
          <w:bCs/>
          <w:color w:val="002060"/>
          <w:sz w:val="27"/>
          <w:szCs w:val="27"/>
          <w:lang w:eastAsia="de-DE"/>
        </w:rPr>
        <w:t>trotz vergleichsweise günstiger Entwicklung</w:t>
      </w:r>
      <w:proofErr w:type="gramEnd"/>
    </w:p>
    <w:p w14:paraId="7C06FD12" w14:textId="77777777" w:rsidR="007C5FEF" w:rsidRPr="007C5FEF" w:rsidRDefault="007C5FEF" w:rsidP="007C5FEF">
      <w:pPr>
        <w:spacing w:before="100" w:beforeAutospacing="1" w:after="100" w:afterAutospacing="1" w:line="240" w:lineRule="auto"/>
        <w:rPr>
          <w:rFonts w:ascii="Times New Roman" w:eastAsia="Times New Roman" w:hAnsi="Times New Roman" w:cs="Times New Roman"/>
          <w:sz w:val="24"/>
          <w:szCs w:val="24"/>
          <w:lang w:eastAsia="de-DE"/>
        </w:rPr>
      </w:pPr>
      <w:r w:rsidRPr="007C5FEF">
        <w:rPr>
          <w:rFonts w:ascii="Times New Roman" w:eastAsia="Times New Roman" w:hAnsi="Times New Roman" w:cs="Times New Roman"/>
          <w:sz w:val="24"/>
          <w:szCs w:val="24"/>
          <w:lang w:eastAsia="de-DE"/>
        </w:rPr>
        <w:t xml:space="preserve">Deutlich schwächer schneidet die Grafschaft im Bereich Wirtschaft ab. Mit der </w:t>
      </w:r>
      <w:r w:rsidRPr="007C5FEF">
        <w:rPr>
          <w:rFonts w:ascii="Times New Roman" w:eastAsia="Times New Roman" w:hAnsi="Times New Roman" w:cs="Times New Roman"/>
          <w:b/>
          <w:bCs/>
          <w:sz w:val="24"/>
          <w:szCs w:val="24"/>
          <w:lang w:eastAsia="de-DE"/>
        </w:rPr>
        <w:t>Note 3,87 und Rang 289</w:t>
      </w:r>
      <w:r w:rsidRPr="007C5FEF">
        <w:rPr>
          <w:rFonts w:ascii="Times New Roman" w:eastAsia="Times New Roman" w:hAnsi="Times New Roman" w:cs="Times New Roman"/>
          <w:sz w:val="24"/>
          <w:szCs w:val="24"/>
          <w:lang w:eastAsia="de-DE"/>
        </w:rPr>
        <w:t xml:space="preserve"> liegt der Landkreis im hinteren Drittel des bundesweiten Rankings. Das verfügbare Haushaltseinkommen beträgt durchschnittlich 26.856 Euro je Einwohner, das Bruttoinlandsprodukt 78.713 Euro je Erwerbstätigen. Die kommunale Verschuldung liegt bei 651 Euro pro Kopf. Herausforderungen zeigen sich insbesondere bei der Arbeitsmarktintegration ausländischer Staatsangehöriger und der Erwerbsbeteiligung bestimmter Bevölkerungsgruppen. Allerdings fällt die wirtschaftliche Trendnote mit 2,7 günstiger aus als die aktuelle Wirtschaftsbewertung. Dies deutet darauf hin, dass sich die wirtschaftlichen Kennzahlen zuletzt vergleichsweise positiv entwickelt haben.</w:t>
      </w:r>
    </w:p>
    <w:p w14:paraId="33279A78" w14:textId="77777777" w:rsidR="007C5FEF" w:rsidRPr="007C5FEF" w:rsidRDefault="007C5FEF" w:rsidP="007C5FEF">
      <w:pPr>
        <w:spacing w:before="100" w:beforeAutospacing="1" w:after="100" w:afterAutospacing="1" w:line="240" w:lineRule="auto"/>
        <w:outlineLvl w:val="2"/>
        <w:rPr>
          <w:rFonts w:ascii="Times New Roman" w:eastAsia="Times New Roman" w:hAnsi="Times New Roman" w:cs="Times New Roman"/>
          <w:b/>
          <w:bCs/>
          <w:color w:val="002060"/>
          <w:sz w:val="27"/>
          <w:szCs w:val="27"/>
          <w:lang w:eastAsia="de-DE"/>
        </w:rPr>
      </w:pPr>
      <w:r w:rsidRPr="007C5FEF">
        <w:rPr>
          <w:rFonts w:ascii="Times New Roman" w:eastAsia="Times New Roman" w:hAnsi="Times New Roman" w:cs="Times New Roman"/>
          <w:b/>
          <w:bCs/>
          <w:color w:val="002060"/>
          <w:sz w:val="27"/>
          <w:szCs w:val="27"/>
          <w:lang w:eastAsia="de-DE"/>
        </w:rPr>
        <w:t>Bildung: Gute Ausbildungschancen, aber Defizite bei Schulabschlüssen</w:t>
      </w:r>
    </w:p>
    <w:p w14:paraId="115DBC0C" w14:textId="77777777" w:rsidR="007C5FEF" w:rsidRPr="007C5FEF" w:rsidRDefault="007C5FEF" w:rsidP="007C5FEF">
      <w:pPr>
        <w:spacing w:before="100" w:beforeAutospacing="1" w:after="100" w:afterAutospacing="1" w:line="240" w:lineRule="auto"/>
        <w:rPr>
          <w:rFonts w:ascii="Times New Roman" w:eastAsia="Times New Roman" w:hAnsi="Times New Roman" w:cs="Times New Roman"/>
          <w:sz w:val="24"/>
          <w:szCs w:val="24"/>
          <w:lang w:eastAsia="de-DE"/>
        </w:rPr>
      </w:pPr>
      <w:r w:rsidRPr="007C5FEF">
        <w:rPr>
          <w:rFonts w:ascii="Times New Roman" w:eastAsia="Times New Roman" w:hAnsi="Times New Roman" w:cs="Times New Roman"/>
          <w:sz w:val="24"/>
          <w:szCs w:val="24"/>
          <w:lang w:eastAsia="de-DE"/>
        </w:rPr>
        <w:t xml:space="preserve">Im Themenfeld Bildung erreicht die Grafschaft Bentheim die </w:t>
      </w:r>
      <w:r w:rsidRPr="007C5FEF">
        <w:rPr>
          <w:rFonts w:ascii="Times New Roman" w:eastAsia="Times New Roman" w:hAnsi="Times New Roman" w:cs="Times New Roman"/>
          <w:b/>
          <w:bCs/>
          <w:sz w:val="24"/>
          <w:szCs w:val="24"/>
          <w:lang w:eastAsia="de-DE"/>
        </w:rPr>
        <w:t>Note 3,75 und Rang 235</w:t>
      </w:r>
      <w:r w:rsidRPr="007C5FEF">
        <w:rPr>
          <w:rFonts w:ascii="Times New Roman" w:eastAsia="Times New Roman" w:hAnsi="Times New Roman" w:cs="Times New Roman"/>
          <w:sz w:val="24"/>
          <w:szCs w:val="24"/>
          <w:lang w:eastAsia="de-DE"/>
        </w:rPr>
        <w:t>. Auffällig ist insbesondere der Anteil von 11 % der Schulabgängerinnen und Schulabgänger ohne ersten Schulabschluss. Auch der Anteil akademisch qualifizierter Beschäftigter fällt mit 9 % vergleichsweise niedrig aus. Positiver gestaltet sich dagegen der Übergang in den Arbeitsmarkt: Die Jugendarbeitslosigkeit liegt bei lediglich 1,9 %. Mit 107 angebotenen betrieblichen Ausbildungsplätzen je 100 Nachfragenden verfügt die Grafschaft zudem über ein relativ ausgewogenes Ausbildungsangebot. Insgesamt ergibt sich ein gemischtes Bild mit Stärken in der beruflichen Ausbildung und Verbesserungspotenzial bei schulischen Abschlüssen.</w:t>
      </w:r>
    </w:p>
    <w:p w14:paraId="5403D2A7" w14:textId="77777777" w:rsidR="007C5FEF" w:rsidRPr="007C5FEF" w:rsidRDefault="007C5FEF" w:rsidP="007C5FEF">
      <w:pPr>
        <w:spacing w:before="100" w:beforeAutospacing="1" w:after="100" w:afterAutospacing="1" w:line="240" w:lineRule="auto"/>
        <w:outlineLvl w:val="2"/>
        <w:rPr>
          <w:rFonts w:ascii="Times New Roman" w:eastAsia="Times New Roman" w:hAnsi="Times New Roman" w:cs="Times New Roman"/>
          <w:b/>
          <w:bCs/>
          <w:color w:val="002060"/>
          <w:sz w:val="27"/>
          <w:szCs w:val="27"/>
          <w:lang w:eastAsia="de-DE"/>
        </w:rPr>
      </w:pPr>
      <w:r w:rsidRPr="007C5FEF">
        <w:rPr>
          <w:rFonts w:ascii="Times New Roman" w:eastAsia="Times New Roman" w:hAnsi="Times New Roman" w:cs="Times New Roman"/>
          <w:b/>
          <w:bCs/>
          <w:color w:val="002060"/>
          <w:sz w:val="27"/>
          <w:szCs w:val="27"/>
          <w:lang w:eastAsia="de-DE"/>
        </w:rPr>
        <w:lastRenderedPageBreak/>
        <w:t>Soziales: Besonders großer Nachholbedarf bei der Kinderbetreuung</w:t>
      </w:r>
    </w:p>
    <w:p w14:paraId="31B536A6" w14:textId="77777777" w:rsidR="007C5FEF" w:rsidRPr="007C5FEF" w:rsidRDefault="007C5FEF" w:rsidP="007C5FEF">
      <w:pPr>
        <w:spacing w:before="100" w:beforeAutospacing="1" w:after="100" w:afterAutospacing="1" w:line="240" w:lineRule="auto"/>
        <w:rPr>
          <w:rFonts w:ascii="Times New Roman" w:eastAsia="Times New Roman" w:hAnsi="Times New Roman" w:cs="Times New Roman"/>
          <w:sz w:val="24"/>
          <w:szCs w:val="24"/>
          <w:lang w:eastAsia="de-DE"/>
        </w:rPr>
      </w:pPr>
      <w:r w:rsidRPr="007C5FEF">
        <w:rPr>
          <w:rFonts w:ascii="Times New Roman" w:eastAsia="Times New Roman" w:hAnsi="Times New Roman" w:cs="Times New Roman"/>
          <w:sz w:val="24"/>
          <w:szCs w:val="24"/>
          <w:lang w:eastAsia="de-DE"/>
        </w:rPr>
        <w:t xml:space="preserve">Mit der </w:t>
      </w:r>
      <w:r w:rsidRPr="007C5FEF">
        <w:rPr>
          <w:rFonts w:ascii="Times New Roman" w:eastAsia="Times New Roman" w:hAnsi="Times New Roman" w:cs="Times New Roman"/>
          <w:b/>
          <w:bCs/>
          <w:sz w:val="24"/>
          <w:szCs w:val="24"/>
          <w:lang w:eastAsia="de-DE"/>
        </w:rPr>
        <w:t>Note 3,83 und Rang 276</w:t>
      </w:r>
      <w:r w:rsidRPr="007C5FEF">
        <w:rPr>
          <w:rFonts w:ascii="Times New Roman" w:eastAsia="Times New Roman" w:hAnsi="Times New Roman" w:cs="Times New Roman"/>
          <w:sz w:val="24"/>
          <w:szCs w:val="24"/>
          <w:lang w:eastAsia="de-DE"/>
        </w:rPr>
        <w:t xml:space="preserve"> zählt auch der Bereich Soziales und Familienfreundlichkeit zu den schwächer bewerteten Themenfeldern. Besonders auffällig ist die geringe Ganztagsbetreuungsquote: Nur etwa 3 % der Kinder unter drei Jahren werden ganztägig in einer Kindertageseinrichtung betreut. Beim Elterngeldbezug kommen rund 2,9 Mütter auf einen Vater. Die Kinderarmutsquote liegt bei etwa 9 %, die Einbürgerungsquote bei 2 %. Mit 71 Quadratmetern Erholungsfläche je Einwohner und 6,1 Vereinen je 1.000 Einwohner zeigt sich bei weiteren sozialen Rahmenbedingungen ein gemischtes Bild. Insgesamt besteht insbesondere bei der frühkindlichen Betreuung deutlicher Verbesserungsbedarf.</w:t>
      </w:r>
    </w:p>
    <w:p w14:paraId="0FFE39F3" w14:textId="77777777" w:rsidR="007C5FEF" w:rsidRPr="007C5FEF" w:rsidRDefault="007C5FEF" w:rsidP="007C5FEF">
      <w:pPr>
        <w:spacing w:before="100" w:beforeAutospacing="1" w:after="100" w:afterAutospacing="1" w:line="240" w:lineRule="auto"/>
        <w:outlineLvl w:val="2"/>
        <w:rPr>
          <w:rFonts w:ascii="Times New Roman" w:eastAsia="Times New Roman" w:hAnsi="Times New Roman" w:cs="Times New Roman"/>
          <w:b/>
          <w:bCs/>
          <w:color w:val="002060"/>
          <w:sz w:val="27"/>
          <w:szCs w:val="27"/>
          <w:lang w:eastAsia="de-DE"/>
        </w:rPr>
      </w:pPr>
      <w:r w:rsidRPr="007C5FEF">
        <w:rPr>
          <w:rFonts w:ascii="Times New Roman" w:eastAsia="Times New Roman" w:hAnsi="Times New Roman" w:cs="Times New Roman"/>
          <w:b/>
          <w:bCs/>
          <w:color w:val="002060"/>
          <w:sz w:val="27"/>
          <w:szCs w:val="27"/>
          <w:lang w:eastAsia="de-DE"/>
        </w:rPr>
        <w:t>Fazit: Demografischer Vorsprung, aber nicht in allen Bereichen zukunftsfest</w:t>
      </w:r>
    </w:p>
    <w:p w14:paraId="2701E93C" w14:textId="77777777" w:rsidR="007C5FEF" w:rsidRPr="007C5FEF" w:rsidRDefault="007C5FEF" w:rsidP="007C5FEF">
      <w:pPr>
        <w:spacing w:before="100" w:beforeAutospacing="1" w:after="100" w:afterAutospacing="1" w:line="240" w:lineRule="auto"/>
        <w:rPr>
          <w:rFonts w:ascii="Times New Roman" w:eastAsia="Times New Roman" w:hAnsi="Times New Roman" w:cs="Times New Roman"/>
          <w:sz w:val="24"/>
          <w:szCs w:val="24"/>
          <w:lang w:eastAsia="de-DE"/>
        </w:rPr>
      </w:pPr>
      <w:r w:rsidRPr="007C5FEF">
        <w:rPr>
          <w:rFonts w:ascii="Times New Roman" w:eastAsia="Times New Roman" w:hAnsi="Times New Roman" w:cs="Times New Roman"/>
          <w:sz w:val="24"/>
          <w:szCs w:val="24"/>
          <w:lang w:eastAsia="de-DE"/>
        </w:rPr>
        <w:t xml:space="preserve">Die Grafschaft Bentheim verfügt über ausgesprochen günstige demografische Voraussetzungen und dürfte entgegen dem allgemeinen Trend in Niedersachsen auch in den kommenden Jahren </w:t>
      </w:r>
      <w:proofErr w:type="gramStart"/>
      <w:r w:rsidRPr="007C5FEF">
        <w:rPr>
          <w:rFonts w:ascii="Times New Roman" w:eastAsia="Times New Roman" w:hAnsi="Times New Roman" w:cs="Times New Roman"/>
          <w:sz w:val="24"/>
          <w:szCs w:val="24"/>
          <w:lang w:eastAsia="de-DE"/>
        </w:rPr>
        <w:t>weiter wachsen</w:t>
      </w:r>
      <w:proofErr w:type="gramEnd"/>
      <w:r w:rsidRPr="007C5FEF">
        <w:rPr>
          <w:rFonts w:ascii="Times New Roman" w:eastAsia="Times New Roman" w:hAnsi="Times New Roman" w:cs="Times New Roman"/>
          <w:sz w:val="24"/>
          <w:szCs w:val="24"/>
          <w:lang w:eastAsia="de-DE"/>
        </w:rPr>
        <w:t xml:space="preserve">. Dieser Vorteil spiegelt sich jedoch bislang nicht gleichermaßen in den wirtschaftlichen, bildungsbezogenen und sozialen Rahmenbedingungen wider. </w:t>
      </w:r>
      <w:r w:rsidRPr="007C5FEF">
        <w:rPr>
          <w:rFonts w:ascii="Times New Roman" w:eastAsia="Times New Roman" w:hAnsi="Times New Roman" w:cs="Times New Roman"/>
          <w:b/>
          <w:bCs/>
          <w:sz w:val="24"/>
          <w:szCs w:val="24"/>
          <w:lang w:eastAsia="de-DE"/>
        </w:rPr>
        <w:t>Besonders in der Kinderbetreuung, bei schulischen Abschlüssen und der Arbeitsmarktintegration bestehen wichtige Ansatzpunkte, um die Zukunftsfähigkeit des Landkreises langfristig zu stärken.</w:t>
      </w:r>
    </w:p>
    <w:p w14:paraId="0F5D60FE" w14:textId="77777777" w:rsidR="007C5FEF" w:rsidRPr="007C5FEF" w:rsidRDefault="007C5FEF" w:rsidP="007C5FEF">
      <w:pPr>
        <w:spacing w:after="0" w:line="240" w:lineRule="auto"/>
        <w:rPr>
          <w:rFonts w:ascii="Times New Roman" w:eastAsia="Times New Roman" w:hAnsi="Times New Roman" w:cs="Times New Roman"/>
          <w:sz w:val="24"/>
          <w:szCs w:val="24"/>
          <w:lang w:eastAsia="de-DE"/>
        </w:rPr>
      </w:pPr>
      <w:r w:rsidRPr="007C5FEF">
        <w:rPr>
          <w:rFonts w:ascii="Times New Roman" w:eastAsia="Times New Roman" w:hAnsi="Times New Roman" w:cs="Times New Roman"/>
          <w:sz w:val="24"/>
          <w:szCs w:val="24"/>
          <w:lang w:eastAsia="de-DE"/>
        </w:rPr>
        <w:pict w14:anchorId="03CFE520">
          <v:rect id="_x0000_i1025" style="width:0;height:1.5pt" o:hralign="center" o:hrstd="t" o:hr="t" fillcolor="#a0a0a0" stroked="f"/>
        </w:pict>
      </w:r>
    </w:p>
    <w:p w14:paraId="0C5E9A9D" w14:textId="77777777" w:rsidR="007C5FEF" w:rsidRPr="007C5FEF" w:rsidRDefault="007C5FEF" w:rsidP="007C5FEF">
      <w:pPr>
        <w:spacing w:before="100" w:beforeAutospacing="1" w:after="100" w:afterAutospacing="1" w:line="240" w:lineRule="auto"/>
        <w:rPr>
          <w:rFonts w:ascii="Times New Roman" w:eastAsia="Times New Roman" w:hAnsi="Times New Roman" w:cs="Times New Roman"/>
          <w:sz w:val="24"/>
          <w:szCs w:val="24"/>
          <w:lang w:eastAsia="de-DE"/>
        </w:rPr>
      </w:pPr>
      <w:r w:rsidRPr="007C5FEF">
        <w:rPr>
          <w:rFonts w:ascii="Times New Roman" w:eastAsia="Times New Roman" w:hAnsi="Times New Roman" w:cs="Times New Roman"/>
          <w:b/>
          <w:bCs/>
          <w:sz w:val="24"/>
          <w:szCs w:val="24"/>
          <w:lang w:eastAsia="de-DE"/>
        </w:rPr>
        <w:t>Quelle:</w:t>
      </w:r>
      <w:r w:rsidRPr="007C5FEF">
        <w:rPr>
          <w:rFonts w:ascii="Times New Roman" w:eastAsia="Times New Roman" w:hAnsi="Times New Roman" w:cs="Times New Roman"/>
          <w:sz w:val="24"/>
          <w:szCs w:val="24"/>
          <w:lang w:eastAsia="de-DE"/>
        </w:rPr>
        <w:t xml:space="preserve"> Berlin-Institut für Bevölkerung und Entwicklung und Wüstenrot Stiftung (2026): </w:t>
      </w:r>
      <w:r w:rsidRPr="007C5FEF">
        <w:rPr>
          <w:rFonts w:ascii="Times New Roman" w:eastAsia="Times New Roman" w:hAnsi="Times New Roman" w:cs="Times New Roman"/>
          <w:i/>
          <w:iCs/>
          <w:sz w:val="24"/>
          <w:szCs w:val="24"/>
          <w:lang w:eastAsia="de-DE"/>
        </w:rPr>
        <w:t>Die demografische Lage der Nation – Wie zukunftsfähig Deutschlands Regionen in Zeiten des Strukturwandels sind.</w:t>
      </w:r>
      <w:r w:rsidRPr="007C5FEF">
        <w:rPr>
          <w:rFonts w:ascii="Times New Roman" w:eastAsia="Times New Roman" w:hAnsi="Times New Roman" w:cs="Times New Roman"/>
          <w:sz w:val="24"/>
          <w:szCs w:val="24"/>
          <w:lang w:eastAsia="de-DE"/>
        </w:rPr>
        <w:t xml:space="preserve"> Insbesondere S. 65–67 und 99–105 sowie die ergänzenden regionalen Indikatoren unter </w:t>
      </w:r>
      <w:hyperlink r:id="rId4" w:history="1">
        <w:r w:rsidRPr="007C5FEF">
          <w:rPr>
            <w:rFonts w:ascii="Times New Roman" w:eastAsia="Times New Roman" w:hAnsi="Times New Roman" w:cs="Times New Roman"/>
            <w:color w:val="0000FF"/>
            <w:sz w:val="24"/>
            <w:szCs w:val="24"/>
            <w:u w:val="single"/>
            <w:lang w:eastAsia="de-DE"/>
          </w:rPr>
          <w:t>www.demografischelage.de</w:t>
        </w:r>
      </w:hyperlink>
      <w:r w:rsidRPr="007C5FEF">
        <w:rPr>
          <w:rFonts w:ascii="Times New Roman" w:eastAsia="Times New Roman" w:hAnsi="Times New Roman" w:cs="Times New Roman"/>
          <w:sz w:val="24"/>
          <w:szCs w:val="24"/>
          <w:lang w:eastAsia="de-DE"/>
        </w:rPr>
        <w:t>.</w:t>
      </w:r>
    </w:p>
    <w:p w14:paraId="78D719E0" w14:textId="77777777" w:rsidR="007C5FEF" w:rsidRDefault="007C5FEF"/>
    <w:sectPr w:rsidR="007C5FEF">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5FEF"/>
    <w:rsid w:val="007C5FEF"/>
    <w:rsid w:val="00D57CD2"/>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673EE6"/>
  <w15:chartTrackingRefBased/>
  <w15:docId w15:val="{317FFBB6-2BC5-4FF8-AB13-A03656ECE9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70745947">
      <w:bodyDiv w:val="1"/>
      <w:marLeft w:val="0"/>
      <w:marRight w:val="0"/>
      <w:marTop w:val="0"/>
      <w:marBottom w:val="0"/>
      <w:divBdr>
        <w:top w:val="none" w:sz="0" w:space="0" w:color="auto"/>
        <w:left w:val="none" w:sz="0" w:space="0" w:color="auto"/>
        <w:bottom w:val="none" w:sz="0" w:space="0" w:color="auto"/>
        <w:right w:val="none" w:sz="0" w:space="0" w:color="auto"/>
      </w:divBdr>
      <w:divsChild>
        <w:div w:id="66986797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demografischelage.de/vergleich"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673</Words>
  <Characters>4242</Characters>
  <Application>Microsoft Office Word</Application>
  <DocSecurity>0</DocSecurity>
  <Lines>35</Lines>
  <Paragraphs>9</Paragraphs>
  <ScaleCrop>false</ScaleCrop>
  <Company/>
  <LinksUpToDate>false</LinksUpToDate>
  <CharactersWithSpaces>4906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Christian Wittke</dc:creator>
  <cp:keywords/>
  <dc:description/>
  <cp:lastModifiedBy>Christian Wittke</cp:lastModifiedBy>
  <cp:revision>2</cp:revision>
  <dcterms:created xsi:type="dcterms:W3CDTF">2026-10-21T17:41:00Z</dcterms:created>
  <dcterms:modified xsi:type="dcterms:W3CDTF">2026-10-21T17:44:00Z</dcterms:modified>
</cp:coreProperties>
</file>