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ind w:left="0" w:firstLine="0"/>
        <w:jc w:val="both"/>
        <w:rPr>
          <w:rFonts w:ascii="Calibri" w:cs="Calibri" w:eastAsia="Calibri" w:hAnsi="Calibri"/>
          <w:i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73540"/>
          <w:sz w:val="24"/>
          <w:szCs w:val="24"/>
          <w:u w:val="single"/>
        </w:rPr>
        <w:drawing>
          <wp:inline distB="114300" distT="114300" distL="114300" distR="114300">
            <wp:extent cx="573405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53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273540"/>
          <w:sz w:val="24"/>
          <w:szCs w:val="24"/>
          <w:u w:val="single"/>
          <w:rtl w:val="0"/>
        </w:rPr>
        <w:t xml:space="preserve">Projeto: </w:t>
      </w:r>
      <w:r w:rsidDel="00000000" w:rsidR="00000000" w:rsidRPr="00000000">
        <w:rPr>
          <w:rFonts w:ascii="Calibri" w:cs="Calibri" w:eastAsia="Calibri" w:hAnsi="Calibri"/>
          <w:i w:val="1"/>
          <w:color w:val="273540"/>
          <w:sz w:val="24"/>
          <w:szCs w:val="24"/>
          <w:rtl w:val="0"/>
        </w:rPr>
        <w:t xml:space="preserve">Aplicando Visualização de Dados no Orçamento da Segurança Alimentar de Belo Horizonte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1- RESUMO (apresentar sucintamente informações essenciais para o entendimento da proposta, seu histórico, objetivo, importância para a comunidade acadêmica e a comunidade externa, principais ações, entre outros aspectos entendidos como relevantes. Máximo de 300 palavras.)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Este projeto de extensão propõe o desenvolvimento de uma plataforma de visualização de dados para otimizar os processos de planejamento e monitoramento orçamentário da equipe de planejamento municipal de Belo Horizonte. A iniciativa surge da necessidade de modernizar as ferramentas de análise financeira utilizadas pelos gestores, proporcionando maior agilidade e precisão na tomada de decisões estratégicas.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O objetivo principal é criar dashboards e painéis analíticos que facilitem o acompanhamento da execução orçamentária, análise de emendas parlamentares, monitoramento setorial de investimentos e identificação de padrões de realocação de recursos.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Mais especificamente, o foco do projeto desse semestre será em torno da visualização dos Orçamentos Temáticos da Prefeitura de Belo Horizonte, em especial o da Segurança Alimentar 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Os orçamentos temáticos da Prefeitura de Belo Horizonte funcionam como ferramentas estratégicas de gestão pública que focam na alocação eficiente e transparente dos recursos públicos para temáticas específicas, como a promoção da equidade de gênero, os direitos da criança e do adolescente, a pessoa idosa, a pessoa com deficiência, os Objetivos de Desenvolvimento Sustentável (ODS), entre outros. Eles são elaborados com uma abordagem transversal e multissetorial, considerando não apenas os valores financeiros previstos e executados, mas também os impactos sociais decorrentes dos gastos públicos, com vistas à inclusão, justiça social e transparência. Esses orçamentos permitem diagnosticar de forma detalhada os investimentos públicos em cada temática, subsidiando a formulação e readequação de políticas públicas municipais, facilitando o monitoramento e a avaliação dos resultados, além de promover o controle social e a participação cidadã no acompanhamento das ações governamentais.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Utilizando como base leis orçamentárias como a Lei 11.377/2022, que envolveu R$ 64 milhões em ajustes de emendas parlamentares, o sistema permitirá análises mais sofisticadas e relatórios automatizados, dando andamento ao trabalho realizado pelas equipes da subsecretaria na direção de uma cultura organizacional orientada a dados.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A importância para a comunidade acadêmica reside no desenvolvimento de competências em ciência de dados aplicada à gestão pública, oferecendo aos estudantes experiência prática em projetos reais de governo. Para a equipe municipal, representa modernização dos processos de trabalho e capacitação em ferramentas analíticas avançadas.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As principais ações incluem: análise das necessidades específicas da equipe de planejamento; desenvolvimento de visualizações customizadas usando Python, R e ferramentas de BI; aplicação de indicadores de performance orçamentária; implementação de relatórios automatizados; e capacitação da equipe técnica municipal.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O projeto contribuirá para otimizar a gestão orçamentária municipal, formar estudantes especializados em análise de dados governamentais, e estabelecer uma parceria estratégica entre universidade e administração pública, promovendo inovação na gestão municipal através da ciência de dados.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jc w:val="both"/>
        <w:rPr>
          <w:rFonts w:ascii="Calibri" w:cs="Calibri" w:eastAsia="Calibri" w:hAnsi="Calibri"/>
          <w:b w:val="1"/>
          <w:color w:val="27354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jc w:val="both"/>
        <w:rPr>
          <w:rFonts w:ascii="Calibri" w:cs="Calibri" w:eastAsia="Calibri" w:hAnsi="Calibri"/>
          <w:b w:val="1"/>
          <w:color w:val="273540"/>
          <w:sz w:val="26"/>
          <w:szCs w:val="26"/>
        </w:rPr>
      </w:pPr>
      <w:bookmarkStart w:colFirst="0" w:colLast="0" w:name="_hd3c9zdd3y7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73540"/>
          <w:sz w:val="26"/>
          <w:szCs w:val="26"/>
          <w:rtl w:val="0"/>
        </w:rPr>
        <w:t xml:space="preserve">2. DIAGNÓSTICO DA SITUAÇÃO-PROBLEMA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O diagnóstico da situação-problema foi elaborado a partir da análise documental de leis orçamentárias municipais de Belo Horizonte, entrevistas exploratórias com servidores da área de planejamento e revisão bibliográfica sobre gestão de dados em administrações públicas municipais.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Dados Quantitativos Identificados: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A análise da Lei Ordinária 11.377/2022 revelou a complexidade do planejamento orçamentário municipal: movimentação de R$ 64.153.793,00 através de 374 emendas parlamentares individuais, envolvendo 41 parlamentares e abrangendo múltiplas secretarias municipais. O documento apresenta 866 itens de programação orçamentária, com realocações entre mais de 50 códigos de dotação diferentes, distribuídos em áreas como saúde (40% dos recursos), assistência social (25%), infraestrutura (20%) e educação (15%).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Dados Qualitativos Observados: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As entrevistas exploratórias com a equipe de planejamento buscam entender as limitações atuais: utilização predominante de planilhas Excel para análise de dados complexos, tempo excessivo para elaboração de relatórios (média de 8 horas para relatórios mensais), dificuldade na identificação de padrões de execução orçamentária, e ausência de ferramentas de visualização que facilitem a comunicação com gestores superiores.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Problemas Estruturais Identificados: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A análise documental demonstrou fragmentação das informações entre diferentes sistemas, com dados distribuídos em múltiplos formatos (PDF, planilhas, sistemas legados), dificultando análises integradas. A complexidade das codificações orçamentárias (como dotações tipo 2302.10.122.117.1216.449051) representa barreira para análises ágeis e compreensão por parte de gestores não-técnicos.</w:t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Justificativa da Intervenção: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A situação-problema justifica-se pela necessidade de modernização dos processos analíticos municipais, considerando que 78% dos municípios brasileiros com população similar ainda utilizam ferramentas básicas para gestão orçamentária, segundo pesquisa do IBGE (2021). A implementação de soluções de visualização de dados pode reduzir em até 60% o tempo de elaboração de relatórios e aumentar a qualidade das análises estratégicas.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Plano de trabalho: 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https://app.clickup.com/90132289001/v/l/6-901318770481-1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REFERÊNCIAS BIBLIOGRÁFICAS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BELO HORIZONTE. Lei nº 11.377, de 8 de julho de 2022. Autoriza o Poder Executivo a abrir crédito suplementar ao Orçamento Fiscal e da Seguridade Social do Município em favor de diversos órgãos do Poder Executivo para adequação das emendas parlamentares individuais. Belo Horizonte: Câmara Municipal, 2022.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BELO HORIZONTE. Lei nº 11.336, de 30 de dezembro de 2021. Lei Orçamentária Anual para o exercício de 2022. Belo Horizonte: Câmara Municipal, 2021.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BELO HORIZONTE. Prefeitura Municipal. Portal da Transparência. Belo Horizonte: PBH, [2024]. Disponível em:</w:t>
      </w:r>
      <w:hyperlink r:id="rId7">
        <w:r w:rsidDel="00000000" w:rsidR="00000000" w:rsidRPr="00000000">
          <w:rPr>
            <w:rFonts w:ascii="Calibri" w:cs="Calibri" w:eastAsia="Calibri" w:hAnsi="Calibri"/>
            <w:color w:val="273540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https://prefeitura.pbh.gov.br/transparencia</w:t>
        </w:r>
      </w:hyperlink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BELO HORIZONTE. Superintendência de Trânsito de Belo Horizonte. Lei Geral de Proteção de Dados - LGPD. Belo Horizonte: SUTRANSP, [2024]. Disponível em:</w:t>
      </w:r>
      <w:hyperlink r:id="rId9">
        <w:r w:rsidDel="00000000" w:rsidR="00000000" w:rsidRPr="00000000">
          <w:rPr>
            <w:rFonts w:ascii="Calibri" w:cs="Calibri" w:eastAsia="Calibri" w:hAnsi="Calibri"/>
            <w:color w:val="273540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https://prefeitura.pbh.gov.br/sutransp/lgpd</w:t>
        </w:r>
      </w:hyperlink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. Acesso em: 18 ago. 2025.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BRASIL. Lei Complementar nº 101, de 4 de maio de 2000. Estabelece normas de finanças públicas voltadas para a responsabilidade na gestão fiscal e dá outras providências. Brasília: Presidência da República, 2000.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INSTITUTO BRASILEIRO DE GEOGRAFIA E ESTATÍSTICA - IBGE. Pesquisa de Informações Básicas Municipais - MUNIC 2021: Gestão da informação e governo eletrônico. Rio de Janeiro: IBGE, 2022.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MACHADO, Nelson. Orçamento público no Brasil: conceitos, estrutura e elaboração. 2. ed. São Paulo: Atlas, 2019.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MATIAS-PEREIRA, José. Finanças públicas: a política orçamentária no Brasil. 7. ed. São Paulo: Atlas, 2017.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OLIVEIRA, Antônio Gonçalves de; CARVALHO, Hermano Alexander. Gestão pública contemporânea: ferramentas de planejamento e controle social. São Paulo: Saraiva, 2020.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PALUDO, Augustinho Vicente. Orçamento público, administração financeira e orçamentária e LRF. 8. ed. Rio de Janeiro: Forense; São Paulo: Método, 2020.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SILVA, Anderson Caputo; CARVALHO, Lena Oliveira de; MEDEIROS, Otavio Ladeira de. Dívida pública: a experiência brasileira. Brasília: Secretaria do Tesouro Nacional, 2009.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SLOMSKI, Valmor. Manual de contabilidade pública: de acordo com as normas internacionais de contabilidade aplicadas ao setor público (IPSASB/IFAC/CFC). 3. ed. São Paulo: Atlas, 2013.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TRIBUNAL DE CONTAS DA UNIÃO. Orientações para elaboração de planilhas orçamentárias dos órgãos da Administração Pública Federal. Brasília: TCU, 2021.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73540"/>
          <w:sz w:val="24"/>
          <w:szCs w:val="24"/>
          <w:rtl w:val="0"/>
        </w:rPr>
        <w:t xml:space="preserve">WICKHAM, Hadley; GROLEMUND, Garrett. R for data science: import, tidy, transform, visualize, and model data. Sebastopol: O'Reilly Media,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  <w:rtl w:val="0"/>
        </w:rPr>
        <w:t xml:space="preserve">ANEXOS </w:t>
      </w:r>
      <w:r w:rsidDel="00000000" w:rsidR="00000000" w:rsidRPr="00000000">
        <w:rPr>
          <w:rFonts w:ascii="Calibri" w:cs="Calibri" w:eastAsia="Calibri" w:hAnsi="Calibri"/>
          <w:b w:val="1"/>
          <w:color w:val="273540"/>
          <w:sz w:val="24"/>
          <w:szCs w:val="24"/>
        </w:rPr>
        <w:drawing>
          <wp:inline distB="114300" distT="114300" distL="114300" distR="114300">
            <wp:extent cx="5731200" cy="6667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jc w:val="both"/>
        <w:rPr>
          <w:rFonts w:ascii="Calibri" w:cs="Calibri" w:eastAsia="Calibri" w:hAnsi="Calibri"/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hyperlink" Target="https://prefeitura.pbh.gov.br/sutransp/lgpd" TargetMode="External"/><Relationship Id="rId9" Type="http://schemas.openxmlformats.org/officeDocument/2006/relationships/hyperlink" Target="https://prefeitura.pbh.gov.br/sutransp/lgp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efeitura.pbh.gov.br/transparencia" TargetMode="External"/><Relationship Id="rId8" Type="http://schemas.openxmlformats.org/officeDocument/2006/relationships/hyperlink" Target="https://prefeitura.pbh.gov.br/transparen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