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54" w:rsidRPr="00C548BC" w:rsidRDefault="001D06EB" w:rsidP="000306D1">
      <w:pPr>
        <w:pStyle w:val="Heading1"/>
        <w:spacing w:line="276" w:lineRule="auto"/>
        <w:rPr>
          <w:rFonts w:ascii="Garamond" w:hAnsi="Garamond"/>
        </w:rPr>
      </w:pPr>
      <w:bookmarkStart w:id="0" w:name="_Toc50132237"/>
      <w:r>
        <w:rPr>
          <w:rFonts w:ascii="Garamond" w:hAnsi="Garamond"/>
        </w:rPr>
        <w:t>A New Perspective on Valmiki Ramayana</w:t>
      </w:r>
      <w:bookmarkEnd w:id="0"/>
    </w:p>
    <w:p w:rsidR="00E44B3B" w:rsidRPr="00E44B3B" w:rsidRDefault="00E44B3B" w:rsidP="000306D1">
      <w:pPr>
        <w:spacing w:line="276" w:lineRule="auto"/>
      </w:pPr>
    </w:p>
    <w:p w:rsidR="003977D7" w:rsidRPr="006D5A9B" w:rsidRDefault="00A64B1D" w:rsidP="00A64B1D">
      <w:pPr>
        <w:spacing w:after="0" w:line="276" w:lineRule="auto"/>
        <w:jc w:val="both"/>
        <w:rPr>
          <w:rFonts w:ascii="Garamond" w:hAnsi="Garamond"/>
          <w:sz w:val="22"/>
          <w:szCs w:val="22"/>
        </w:rPr>
      </w:pPr>
      <w:r>
        <w:rPr>
          <w:rFonts w:ascii="Garamond" w:hAnsi="Garamond"/>
          <w:sz w:val="22"/>
          <w:szCs w:val="22"/>
        </w:rPr>
        <w:tab/>
      </w:r>
      <w:r w:rsidR="00A10D54" w:rsidRPr="006D5A9B">
        <w:rPr>
          <w:rFonts w:ascii="Garamond" w:hAnsi="Garamond"/>
          <w:sz w:val="22"/>
          <w:szCs w:val="22"/>
        </w:rPr>
        <w:t xml:space="preserve">Valmiki Ramayana is a </w:t>
      </w:r>
      <w:r w:rsidR="002761D7" w:rsidRPr="006D5A9B">
        <w:rPr>
          <w:rFonts w:ascii="Garamond" w:hAnsi="Garamond"/>
          <w:sz w:val="22"/>
          <w:szCs w:val="22"/>
        </w:rPr>
        <w:t>work</w:t>
      </w:r>
      <w:r w:rsidR="00A10D54" w:rsidRPr="006D5A9B">
        <w:rPr>
          <w:rFonts w:ascii="Garamond" w:hAnsi="Garamond"/>
          <w:sz w:val="22"/>
          <w:szCs w:val="22"/>
        </w:rPr>
        <w:t xml:space="preserve"> of imagin</w:t>
      </w:r>
      <w:r>
        <w:rPr>
          <w:rFonts w:ascii="Garamond" w:hAnsi="Garamond"/>
          <w:sz w:val="22"/>
          <w:szCs w:val="22"/>
        </w:rPr>
        <w:t>ative and highly advanced Yogi. W</w:t>
      </w:r>
      <w:r w:rsidR="003977D7" w:rsidRPr="006D5A9B">
        <w:rPr>
          <w:rFonts w:ascii="Garamond" w:hAnsi="Garamond"/>
          <w:sz w:val="22"/>
          <w:szCs w:val="22"/>
        </w:rPr>
        <w:t>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p>
    <w:p w:rsidR="00241282" w:rsidRPr="005B5F7D" w:rsidRDefault="00241282" w:rsidP="006700BF">
      <w:pPr>
        <w:pStyle w:val="Heading2"/>
        <w:jc w:val="left"/>
        <w:rPr>
          <w:rFonts w:ascii="Garamond" w:hAnsi="Garamond"/>
        </w:rPr>
      </w:pPr>
      <w:bookmarkStart w:id="1" w:name="_Toc50132238"/>
      <w:r w:rsidRPr="005B5F7D">
        <w:rPr>
          <w:rFonts w:ascii="Garamond" w:hAnsi="Garamond"/>
        </w:rPr>
        <w:t xml:space="preserve">Layers in </w:t>
      </w:r>
      <w:r w:rsidR="00653F3E" w:rsidRPr="005B5F7D">
        <w:rPr>
          <w:rFonts w:ascii="Garamond" w:hAnsi="Garamond"/>
        </w:rPr>
        <w:t xml:space="preserve">Valmiki </w:t>
      </w:r>
      <w:r w:rsidR="00382CA4" w:rsidRPr="005B5F7D">
        <w:rPr>
          <w:rFonts w:ascii="Garamond" w:hAnsi="Garamond"/>
        </w:rPr>
        <w:t>Ramayana</w:t>
      </w:r>
      <w:bookmarkEnd w:id="1"/>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Similarly, when we read Valmiki Ramayana, we need to understand the layers and their sequence. There are at four layers in Valmiki Ramayana. Each 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lastRenderedPageBreak/>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5B5F7D" w:rsidRDefault="00382CA4" w:rsidP="006700BF">
      <w:pPr>
        <w:pStyle w:val="Heading2"/>
        <w:jc w:val="left"/>
        <w:rPr>
          <w:rFonts w:ascii="Garamond" w:hAnsi="Garamond"/>
        </w:rPr>
      </w:pPr>
      <w:bookmarkStart w:id="2" w:name="_Toc50132239"/>
      <w:r w:rsidRPr="005B5F7D">
        <w:rPr>
          <w:rFonts w:ascii="Garamond" w:hAnsi="Garamond"/>
        </w:rPr>
        <w:lastRenderedPageBreak/>
        <w:t>Patterns in Valmiki Ramayana</w:t>
      </w:r>
      <w:bookmarkEnd w:id="2"/>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3"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3"/>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 xml:space="preserve">is imported from </w:t>
      </w:r>
      <w:r w:rsidR="00D83A51" w:rsidRPr="006D5A9B">
        <w:rPr>
          <w:rFonts w:ascii="Garamond" w:hAnsi="Garamond"/>
          <w:b/>
          <w:bCs/>
          <w:sz w:val="22"/>
          <w:szCs w:val="22"/>
        </w:rPr>
        <w:lastRenderedPageBreak/>
        <w:t>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4"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4"/>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5"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5"/>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6"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6"/>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the story. </w:t>
      </w:r>
      <w:r w:rsidRPr="006D5A9B">
        <w:rPr>
          <w:rFonts w:ascii="Garamond" w:hAnsi="Garamond"/>
          <w:b/>
          <w:bCs/>
          <w:sz w:val="22"/>
          <w:szCs w:val="22"/>
        </w:rPr>
        <w:t xml:space="preserve">The central theme is Shri Ram discovering Himself as an incarnation </w:t>
      </w:r>
      <w:r w:rsidRPr="006D5A9B">
        <w:rPr>
          <w:rFonts w:ascii="Garamond" w:hAnsi="Garamond"/>
          <w:b/>
          <w:bCs/>
          <w:sz w:val="22"/>
          <w:szCs w:val="22"/>
        </w:rPr>
        <w:lastRenderedPageBreak/>
        <w:t xml:space="preserve">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7"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7"/>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 xml:space="preserve">uru. In sage </w:t>
      </w:r>
      <w:r w:rsidR="001025AE" w:rsidRPr="006D5A9B">
        <w:rPr>
          <w:rFonts w:ascii="Garamond" w:hAnsi="Garamond"/>
          <w:sz w:val="22"/>
          <w:szCs w:val="22"/>
        </w:rPr>
        <w:lastRenderedPageBreak/>
        <w:t>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8" w:name="_Toc418306769"/>
    </w:p>
    <w:p w:rsidR="00836722" w:rsidRDefault="00836722" w:rsidP="000306D1">
      <w:pPr>
        <w:spacing w:line="276" w:lineRule="auto"/>
      </w:pPr>
    </w:p>
    <w:p w:rsidR="00382CA4" w:rsidRPr="006700BF" w:rsidRDefault="007D021B" w:rsidP="006700BF">
      <w:pPr>
        <w:pStyle w:val="Heading2"/>
        <w:jc w:val="left"/>
      </w:pPr>
      <w:bookmarkStart w:id="9" w:name="_Toc50132240"/>
      <w:r w:rsidRPr="006700BF">
        <w:t>Boons and Curses in Ramayan</w:t>
      </w:r>
      <w:bookmarkEnd w:id="8"/>
      <w:r w:rsidRPr="006700BF">
        <w:t>a</w:t>
      </w:r>
      <w:bookmarkEnd w:id="9"/>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10"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10"/>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11" w:name="_Toc418306771"/>
      <w:r w:rsidRPr="00E44B3B">
        <w:rPr>
          <w:rFonts w:ascii="Garamond" w:hAnsi="Garamond"/>
          <w:b/>
          <w:bCs/>
          <w:sz w:val="22"/>
          <w:szCs w:val="22"/>
        </w:rPr>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11"/>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t>
      </w:r>
      <w:r w:rsidRPr="00E44B3B">
        <w:rPr>
          <w:rFonts w:ascii="Garamond" w:hAnsi="Garamond"/>
          <w:sz w:val="22"/>
          <w:szCs w:val="22"/>
        </w:rPr>
        <w:lastRenderedPageBreak/>
        <w:t>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12" w:name="_Toc418306783"/>
    </w:p>
    <w:p w:rsidR="00FC5185" w:rsidRPr="005B5F7D" w:rsidRDefault="000222C9" w:rsidP="006700BF">
      <w:pPr>
        <w:pStyle w:val="Heading2"/>
        <w:jc w:val="left"/>
        <w:rPr>
          <w:rFonts w:ascii="Garamond" w:hAnsi="Garamond"/>
        </w:rPr>
      </w:pPr>
      <w:bookmarkStart w:id="13" w:name="_Toc50132241"/>
      <w:r w:rsidRPr="005B5F7D">
        <w:rPr>
          <w:rFonts w:ascii="Garamond" w:hAnsi="Garamond"/>
        </w:rPr>
        <w:t>Shri Ram’s Values</w:t>
      </w:r>
      <w:bookmarkEnd w:id="13"/>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12"/>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14"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14"/>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15" w:name="_Toc418306785"/>
      <w:r w:rsidRPr="00B83FAA">
        <w:rPr>
          <w:rFonts w:ascii="Garamond" w:hAnsi="Garamond"/>
          <w:b/>
          <w:bCs/>
          <w:sz w:val="22"/>
          <w:szCs w:val="22"/>
        </w:rPr>
        <w:lastRenderedPageBreak/>
        <w:t>Value #3 - He is a Highly Active Individual</w:t>
      </w:r>
      <w:bookmarkEnd w:id="15"/>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16" w:name="_Toc418306786"/>
      <w:r w:rsidRPr="00B83FAA">
        <w:rPr>
          <w:rFonts w:ascii="Garamond" w:hAnsi="Garamond"/>
          <w:b/>
          <w:bCs/>
          <w:sz w:val="22"/>
          <w:szCs w:val="22"/>
        </w:rPr>
        <w:t>Value #4 - Strong Emphasis on Performing Duty</w:t>
      </w:r>
      <w:bookmarkEnd w:id="16"/>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EB3B24" w:rsidRPr="00395525" w:rsidRDefault="00EB3B24" w:rsidP="00395525">
      <w:pPr>
        <w:tabs>
          <w:tab w:val="clear" w:pos="360"/>
          <w:tab w:val="clear" w:pos="9360"/>
        </w:tabs>
        <w:spacing w:after="0" w:line="276" w:lineRule="auto"/>
        <w:jc w:val="both"/>
        <w:rPr>
          <w:rFonts w:ascii="Garamond" w:hAnsi="Garamond" w:cs="Arial"/>
          <w:bCs/>
          <w:iCs/>
          <w:sz w:val="22"/>
          <w:szCs w:val="22"/>
        </w:rPr>
      </w:pPr>
      <w:bookmarkStart w:id="17" w:name="_GoBack"/>
      <w:bookmarkEnd w:id="17"/>
    </w:p>
    <w:sectPr w:rsidR="00EB3B24" w:rsidRPr="00395525"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EF2" w:rsidRDefault="006F0EF2">
      <w:r>
        <w:separator/>
      </w:r>
    </w:p>
  </w:endnote>
  <w:endnote w:type="continuationSeparator" w:id="0">
    <w:p w:rsidR="006F0EF2" w:rsidRDefault="006F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395525">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395525">
      <w:rPr>
        <w:rFonts w:ascii="Garamond" w:hAnsi="Garamond"/>
        <w:noProof/>
        <w:sz w:val="16"/>
        <w:szCs w:val="16"/>
      </w:rPr>
      <w:t>9</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EF2" w:rsidRDefault="006F0EF2">
      <w:r>
        <w:separator/>
      </w:r>
    </w:p>
  </w:footnote>
  <w:footnote w:type="continuationSeparator" w:id="0">
    <w:p w:rsidR="006F0EF2" w:rsidRDefault="006F0E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395525">
      <w:rPr>
        <w:rFonts w:ascii="Garamond" w:hAnsi="Garamond"/>
        <w:sz w:val="16"/>
        <w:szCs w:val="16"/>
      </w:rPr>
      <w:fldChar w:fldCharType="separate"/>
    </w:r>
    <w:r w:rsidR="00395525">
      <w:rPr>
        <w:rFonts w:ascii="Garamond" w:hAnsi="Garamond"/>
        <w:noProof/>
        <w:sz w:val="16"/>
        <w:szCs w:val="16"/>
      </w:rPr>
      <w:t>A New Perspective on Valmiki Ramayana</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525"/>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0EF2"/>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4B129B62-872D-443A-83B9-133CC531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1</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7</cp:revision>
  <cp:lastPrinted>2017-05-13T12:01:00Z</cp:lastPrinted>
  <dcterms:created xsi:type="dcterms:W3CDTF">2020-09-04T21:14:00Z</dcterms:created>
  <dcterms:modified xsi:type="dcterms:W3CDTF">2020-09-09T17:24:00Z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