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AC6" w:rsidRPr="00C548BC" w:rsidRDefault="00493AC6" w:rsidP="000306D1">
      <w:pPr>
        <w:pStyle w:val="Heading1"/>
        <w:spacing w:line="276" w:lineRule="auto"/>
        <w:rPr>
          <w:rFonts w:ascii="Garamond" w:hAnsi="Garamond"/>
        </w:rPr>
      </w:pPr>
      <w:bookmarkStart w:id="0" w:name="_Toc50132261"/>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Yoga Meaning</w:t>
      </w:r>
      <w:bookmarkEnd w:id="0"/>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1"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2" w:name="_Toc50132262"/>
      <w:r w:rsidRPr="00C548BC">
        <w:rPr>
          <w:rFonts w:ascii="Garamond" w:hAnsi="Garamond"/>
        </w:rPr>
        <w:t>Dasharatha as a Father of Shri Ram</w:t>
      </w:r>
      <w:bookmarkEnd w:id="2"/>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3" w:name="_Toc50132263"/>
      <w:r w:rsidRPr="00C548BC">
        <w:rPr>
          <w:rFonts w:ascii="Garamond" w:hAnsi="Garamond"/>
        </w:rPr>
        <w:t>Urmila Does Not Go in Exile with Laxmana</w:t>
      </w:r>
      <w:bookmarkEnd w:id="3"/>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qualities of the mind. Laxmana focuses on serving Shri Ram.  He </w:t>
      </w:r>
      <w:r w:rsidRPr="006D5A9B">
        <w:rPr>
          <w:rFonts w:ascii="Garamond" w:hAnsi="Garamond"/>
          <w:sz w:val="22"/>
          <w:szCs w:val="22"/>
        </w:rPr>
        <w:lastRenderedPageBreak/>
        <w:t>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4" w:name="_Toc50132264"/>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1"/>
      <w:bookmarkEnd w:id="4"/>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w:t>
      </w:r>
      <w:r w:rsidR="00C13E61" w:rsidRPr="006D5A9B">
        <w:rPr>
          <w:rFonts w:ascii="Garamond" w:hAnsi="Garamond"/>
          <w:sz w:val="22"/>
          <w:szCs w:val="22"/>
        </w:rPr>
        <w:lastRenderedPageBreak/>
        <w:t xml:space="preserve">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5" w:name="_Toc50132265"/>
      <w:r w:rsidRPr="00C548BC">
        <w:rPr>
          <w:rFonts w:ascii="Garamond" w:hAnsi="Garamond"/>
        </w:rPr>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5"/>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w:t>
      </w:r>
      <w:r w:rsidRPr="006D5A9B">
        <w:rPr>
          <w:rFonts w:ascii="Garamond" w:hAnsi="Garamond"/>
          <w:sz w:val="22"/>
          <w:szCs w:val="22"/>
        </w:rPr>
        <w:lastRenderedPageBreak/>
        <w:t xml:space="preserve">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w:t>
      </w:r>
      <w:r w:rsidRPr="006D5A9B">
        <w:rPr>
          <w:rFonts w:ascii="Garamond" w:hAnsi="Garamond"/>
          <w:sz w:val="22"/>
          <w:szCs w:val="22"/>
        </w:rPr>
        <w:lastRenderedPageBreak/>
        <w:t xml:space="preserve">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 w:name="_Toc50132266"/>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7" w:name="_Toc50132267"/>
      <w:bookmarkStart w:id="8" w:name="_Toc418306767"/>
      <w:r w:rsidRPr="00C548BC">
        <w:rPr>
          <w:rFonts w:ascii="Garamond" w:hAnsi="Garamond"/>
        </w:rPr>
        <w:lastRenderedPageBreak/>
        <w:t>Ravana and</w:t>
      </w:r>
      <w:r w:rsidR="00CA77FF" w:rsidRPr="00C548BC">
        <w:rPr>
          <w:rFonts w:ascii="Garamond" w:hAnsi="Garamond"/>
        </w:rPr>
        <w:t xml:space="preserve"> Mandodari Give Birth to Indrajit</w:t>
      </w:r>
      <w:bookmarkEnd w:id="7"/>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9" w:name="_Toc50132268"/>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8"/>
      <w:bookmarkEnd w:id="9"/>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w:t>
      </w:r>
      <w:r w:rsidRPr="006D5A9B">
        <w:rPr>
          <w:rFonts w:ascii="Garamond" w:hAnsi="Garamond"/>
          <w:sz w:val="22"/>
          <w:szCs w:val="22"/>
        </w:rPr>
        <w:lastRenderedPageBreak/>
        <w:t xml:space="preserve">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10" w:name="_Toc418306775"/>
      <w:bookmarkStart w:id="11" w:name="_Toc50132269"/>
      <w:r w:rsidRPr="00C548BC">
        <w:rPr>
          <w:rFonts w:ascii="Garamond" w:hAnsi="Garamond"/>
        </w:rPr>
        <w:t xml:space="preserve">Shri Ram, Jatayu, and </w:t>
      </w:r>
      <w:bookmarkEnd w:id="10"/>
      <w:r w:rsidR="00D02EEA" w:rsidRPr="00C548BC">
        <w:rPr>
          <w:rFonts w:ascii="Garamond" w:hAnsi="Garamond"/>
        </w:rPr>
        <w:t>Ravana:</w:t>
      </w:r>
      <w:r w:rsidRPr="00C548BC">
        <w:rPr>
          <w:rFonts w:ascii="Garamond" w:hAnsi="Garamond"/>
        </w:rPr>
        <w:t xml:space="preserve"> Their Views of Their Lineages</w:t>
      </w:r>
      <w:bookmarkEnd w:id="11"/>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D95B40" w:rsidRPr="007C52BB" w:rsidRDefault="001F2B8E" w:rsidP="007C52BB">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bookmarkStart w:id="12" w:name="_Toc418306792"/>
      <w:bookmarkStart w:id="13" w:name="_GoBack"/>
      <w:bookmarkEnd w:id="12"/>
      <w:bookmarkEnd w:id="13"/>
    </w:p>
    <w:sectPr w:rsidR="00D95B40" w:rsidRPr="007C52BB"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DB6" w:rsidRDefault="00174DB6">
      <w:r>
        <w:separator/>
      </w:r>
    </w:p>
  </w:endnote>
  <w:endnote w:type="continuationSeparator" w:id="0">
    <w:p w:rsidR="00174DB6" w:rsidRDefault="0017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7C52BB">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7C52BB">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DB6" w:rsidRDefault="00174DB6">
      <w:r>
        <w:separator/>
      </w:r>
    </w:p>
  </w:footnote>
  <w:footnote w:type="continuationSeparator" w:id="0">
    <w:p w:rsidR="00174DB6" w:rsidRDefault="00174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7C52BB">
      <w:rPr>
        <w:rFonts w:ascii="Garamond" w:hAnsi="Garamond"/>
        <w:sz w:val="16"/>
        <w:szCs w:val="16"/>
      </w:rPr>
      <w:fldChar w:fldCharType="separate"/>
    </w:r>
    <w:r w:rsidR="007C52BB">
      <w:rPr>
        <w:rFonts w:ascii="Garamond" w:hAnsi="Garamond"/>
        <w:noProof/>
        <w:sz w:val="16"/>
        <w:szCs w:val="16"/>
      </w:rPr>
      <w:t>Layer 2: Relationship between Characters and its Yoga Meaning</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4DB6"/>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52BB"/>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75CCEEBC-9733-4C67-AF81-2538A069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8</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