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7E" w:rsidRPr="003834DF" w:rsidRDefault="00A01AF4" w:rsidP="000306D1">
      <w:pPr>
        <w:pStyle w:val="Heading2"/>
        <w:spacing w:line="276" w:lineRule="auto"/>
        <w:jc w:val="left"/>
        <w:rPr>
          <w:rFonts w:ascii="Garamond" w:hAnsi="Garamond"/>
        </w:rPr>
      </w:pPr>
      <w:bookmarkStart w:id="0" w:name="_Toc412487839"/>
      <w:bookmarkStart w:id="1" w:name="_Toc423152568"/>
      <w:bookmarkStart w:id="2" w:name="_Toc423154191"/>
      <w:bookmarkStart w:id="3" w:name="_Toc50132298"/>
      <w:r w:rsidRPr="003834DF">
        <w:rPr>
          <w:rFonts w:ascii="Garamond" w:hAnsi="Garamond"/>
        </w:rPr>
        <w:t xml:space="preserve">Ravana </w:t>
      </w:r>
      <w:r w:rsidR="0036437E" w:rsidRPr="003834DF">
        <w:rPr>
          <w:rFonts w:ascii="Garamond" w:hAnsi="Garamond"/>
        </w:rPr>
        <w:t>at His Best</w:t>
      </w:r>
      <w:bookmarkEnd w:id="0"/>
      <w:bookmarkEnd w:id="1"/>
      <w:bookmarkEnd w:id="2"/>
      <w:bookmarkEnd w:id="3"/>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behind the 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w:t>
      </w:r>
      <w:proofErr w:type="spellStart"/>
      <w:r w:rsidR="0036437E" w:rsidRPr="006D5A9B">
        <w:rPr>
          <w:rFonts w:ascii="Garamond" w:hAnsi="Garamond"/>
          <w:sz w:val="22"/>
          <w:szCs w:val="22"/>
        </w:rPr>
        <w:t>Mahodar</w:t>
      </w:r>
      <w:r w:rsidRPr="006D5A9B">
        <w:rPr>
          <w:rFonts w:ascii="Garamond" w:hAnsi="Garamond"/>
          <w:sz w:val="22"/>
          <w:szCs w:val="22"/>
        </w:rPr>
        <w:t>a</w:t>
      </w:r>
      <w:proofErr w:type="spellEnd"/>
      <w:r w:rsidR="0036437E" w:rsidRPr="006D5A9B">
        <w:rPr>
          <w:rFonts w:ascii="Garamond" w:hAnsi="Garamond"/>
          <w:sz w:val="22"/>
          <w:szCs w:val="22"/>
        </w:rPr>
        <w:t xml:space="preserve">, meaning “big-belly,” 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w:t>
      </w:r>
      <w:proofErr w:type="spellStart"/>
      <w:r w:rsidR="0036437E" w:rsidRPr="006D5A9B">
        <w:rPr>
          <w:rFonts w:ascii="Garamond" w:hAnsi="Garamond"/>
          <w:sz w:val="22"/>
          <w:szCs w:val="22"/>
        </w:rPr>
        <w:t>Mahodar</w:t>
      </w:r>
      <w:r w:rsidRPr="006D5A9B">
        <w:rPr>
          <w:rFonts w:ascii="Garamond" w:hAnsi="Garamond"/>
          <w:sz w:val="22"/>
          <w:szCs w:val="22"/>
        </w:rPr>
        <w:t>a</w:t>
      </w:r>
      <w:proofErr w:type="spellEnd"/>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w:t>
      </w:r>
      <w:r w:rsidRPr="006D5A9B">
        <w:rPr>
          <w:rFonts w:ascii="Garamond" w:hAnsi="Garamond"/>
          <w:sz w:val="22"/>
          <w:szCs w:val="22"/>
        </w:rPr>
        <w:lastRenderedPageBreak/>
        <w:t>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lastRenderedPageBreak/>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has been defeated in the previous six incarnation stories, and it will be defeated in the next two incarnation stories too. However, the way it is defeated in this 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4" w:name="_Toc412487840"/>
      <w:bookmarkStart w:id="5" w:name="_Toc423152569"/>
      <w:bookmarkStart w:id="6" w:name="_Toc423154192"/>
      <w:bookmarkStart w:id="7" w:name="_Toc50132299"/>
      <w:r w:rsidRPr="003834DF">
        <w:rPr>
          <w:rFonts w:ascii="Garamond" w:hAnsi="Garamond"/>
        </w:rPr>
        <w:lastRenderedPageBreak/>
        <w:t>The Real Nature of Sita and Shri Ram</w:t>
      </w:r>
      <w:bookmarkEnd w:id="4"/>
      <w:bookmarkEnd w:id="5"/>
      <w:bookmarkEnd w:id="6"/>
      <w:bookmarkEnd w:id="7"/>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t xml:space="preserve">walk, so that 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8" w:name="_Toc412487841"/>
      <w:bookmarkStart w:id="9" w:name="_Toc423152570"/>
      <w:bookmarkStart w:id="10" w:name="_Toc423154193"/>
      <w:bookmarkStart w:id="11" w:name="_Toc50132300"/>
      <w:r w:rsidRPr="003834DF">
        <w:rPr>
          <w:rFonts w:ascii="Garamond" w:hAnsi="Garamond"/>
        </w:rPr>
        <w:t>Arial Journey Back to Ayodhya</w:t>
      </w:r>
      <w:bookmarkEnd w:id="8"/>
      <w:bookmarkEnd w:id="9"/>
      <w:bookmarkEnd w:id="10"/>
      <w:bookmarkEnd w:id="11"/>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journey to 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w:t>
      </w:r>
      <w:proofErr w:type="gramStart"/>
      <w:r w:rsidR="0036437E" w:rsidRPr="006D5A9B">
        <w:rPr>
          <w:rFonts w:ascii="Garamond" w:hAnsi="Garamond"/>
          <w:sz w:val="22"/>
          <w:szCs w:val="22"/>
        </w:rPr>
        <w:t>stop</w:t>
      </w:r>
      <w:proofErr w:type="gramEnd"/>
      <w:r w:rsidR="0036437E" w:rsidRPr="006D5A9B">
        <w:rPr>
          <w:rFonts w:ascii="Garamond" w:hAnsi="Garamond"/>
          <w:sz w:val="22"/>
          <w:szCs w:val="22"/>
        </w:rPr>
        <w:t xml:space="preserve"> 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 w:name="_Toc412487844"/>
      <w:bookmarkStart w:id="13" w:name="_Toc423152573"/>
      <w:bookmarkStart w:id="14" w:name="_Toc423154196"/>
      <w:bookmarkStart w:id="15" w:name="_Toc50132301"/>
      <w:r w:rsidRPr="003834DF">
        <w:rPr>
          <w:rFonts w:ascii="Garamond" w:hAnsi="Garamond"/>
        </w:rPr>
        <w:lastRenderedPageBreak/>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2"/>
      <w:bookmarkEnd w:id="13"/>
      <w:bookmarkEnd w:id="14"/>
      <w:r w:rsidR="00E43097" w:rsidRPr="003834DF">
        <w:rPr>
          <w:rFonts w:ascii="Garamond" w:hAnsi="Garamond"/>
        </w:rPr>
        <w:t>a</w:t>
      </w:r>
      <w:bookmarkEnd w:id="15"/>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they wrote the 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9" w:history="1">
        <w:r w:rsidR="00A93A5C" w:rsidRPr="006D5A9B">
          <w:rPr>
            <w:rStyle w:val="Hyperlink"/>
            <w:rFonts w:ascii="Garamond" w:hAnsi="Garamond"/>
            <w:sz w:val="22"/>
            <w:szCs w:val="22"/>
          </w:rPr>
          <w:t>http://ramayana.tigercoder.com/</w:t>
        </w:r>
        <w:proofErr w:type="spellStart"/>
        <w:r w:rsidR="00A93A5C" w:rsidRPr="006D5A9B">
          <w:rPr>
            <w:rStyle w:val="Hyperlink"/>
            <w:rFonts w:ascii="Garamond" w:hAnsi="Garamond"/>
            <w:sz w:val="22"/>
            <w:szCs w:val="22"/>
          </w:rPr>
          <w:t>template.php?c</w:t>
        </w:r>
        <w:proofErr w:type="spellEnd"/>
        <w:r w:rsidR="00A93A5C" w:rsidRPr="006D5A9B">
          <w:rPr>
            <w:rStyle w:val="Hyperlink"/>
            <w:rFonts w:ascii="Garamond" w:hAnsi="Garamond"/>
            <w:sz w:val="22"/>
            <w:szCs w:val="22"/>
          </w:rPr>
          <w:t>=</w:t>
        </w:r>
        <w:proofErr w:type="spellStart"/>
        <w:r w:rsidR="00A93A5C" w:rsidRPr="006D5A9B">
          <w:rPr>
            <w:rStyle w:val="Hyperlink"/>
            <w:rFonts w:ascii="Garamond" w:hAnsi="Garamond"/>
            <w:sz w:val="22"/>
            <w:szCs w:val="22"/>
          </w:rPr>
          <w:t>07uttara</w:t>
        </w:r>
        <w:proofErr w:type="spellEnd"/>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6" w:name="_Toc412487845"/>
      <w:bookmarkStart w:id="17" w:name="_Toc423152574"/>
      <w:bookmarkStart w:id="18" w:name="_Toc423154197"/>
      <w:bookmarkStart w:id="19" w:name="_GoBack"/>
      <w:bookmarkEnd w:id="16"/>
      <w:bookmarkEnd w:id="17"/>
      <w:bookmarkEnd w:id="18"/>
      <w:bookmarkEnd w:id="19"/>
    </w:p>
    <w:sectPr w:rsidR="00A93A5C" w:rsidRPr="006D5A9B" w:rsidSect="0022074D">
      <w:headerReference w:type="even" r:id="rId10"/>
      <w:headerReference w:type="default" r:id="rId11"/>
      <w:footerReference w:type="even" r:id="rId12"/>
      <w:footerReference w:type="default" r:id="rId13"/>
      <w:headerReference w:type="first" r:id="rId14"/>
      <w:footerReference w:type="first" r:id="rId15"/>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324" w:rsidRDefault="00B41324">
      <w:r>
        <w:separator/>
      </w:r>
    </w:p>
  </w:endnote>
  <w:endnote w:type="continuationSeparator" w:id="0">
    <w:p w:rsidR="00B41324" w:rsidRDefault="00B4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8777FB">
      <w:rPr>
        <w:rFonts w:ascii="Garamond" w:hAnsi="Garamond"/>
        <w:noProof/>
        <w:sz w:val="16"/>
        <w:szCs w:val="16"/>
      </w:rPr>
      <w:t>4</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8777FB">
      <w:rPr>
        <w:rFonts w:ascii="Garamond" w:hAnsi="Garamond"/>
        <w:noProof/>
        <w:sz w:val="16"/>
        <w:szCs w:val="16"/>
      </w:rPr>
      <w:t>5</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324" w:rsidRDefault="00B41324">
      <w:r>
        <w:separator/>
      </w:r>
    </w:p>
  </w:footnote>
  <w:footnote w:type="continuationSeparator" w:id="0">
    <w:p w:rsidR="00B41324" w:rsidRDefault="00B41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8777FB">
      <w:rPr>
        <w:rFonts w:ascii="Garamond" w:hAnsi="Garamond"/>
        <w:sz w:val="16"/>
        <w:szCs w:val="16"/>
      </w:rPr>
      <w:fldChar w:fldCharType="separate"/>
    </w:r>
    <w:r w:rsidR="008777FB">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7FB"/>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324"/>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ramayana.tigercoder.com/template.php?c=07uttara"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6CC74741-CEBD-417F-95AC-9E8FB4B9E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4</TotalTime>
  <Pages>6</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