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Arial" w:cs="Arial" w:eastAsia="Arial" w:hAnsi="Arial"/>
          <w:b/>
          <w:bCs/>
          <w:color w:val="1F4E79"/>
          <w:sz w:val="48"/>
          <w:szCs w:val="48"/>
        </w:rPr>
        <w:t xml:space="preserve">JOURNAL PUBLICATION IMPROVEMENT PLAN</w:t>
      </w:r>
    </w:p>
    <w:p>
      <w:pPr>
        <w:spacing w:before="0" w:after="40"/>
        <w:jc w:val="center"/>
      </w:pPr>
      <w:r>
        <w:rPr>
          <w:rFonts w:ascii="Arial" w:cs="Arial" w:eastAsia="Arial" w:hAnsi="Arial"/>
          <w:i/>
          <w:iCs/>
          <w:color w:val="2E75B6"/>
          <w:sz w:val="28"/>
          <w:szCs w:val="28"/>
        </w:rPr>
        <w:t xml:space="preserve">Sanshodhak: Adaptive Hybrid Retrieval-Augmented Generation</w:t>
      </w:r>
    </w:p>
    <w:p>
      <w:pPr>
        <w:spacing w:before="0" w:after="40"/>
        <w:jc w:val="center"/>
      </w:pPr>
      <w:r>
        <w:rPr>
          <w:rFonts w:ascii="Arial" w:cs="Arial" w:eastAsia="Arial" w:hAnsi="Arial"/>
          <w:i/>
          <w:iCs/>
          <w:color w:val="2E75B6"/>
          <w:sz w:val="24"/>
          <w:szCs w:val="24"/>
        </w:rPr>
        <w:t xml:space="preserve">with Dual-Edge Knowledge Graph Expansion for Scholarly Research Intelligence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CCDDFF"/>
                <w:sz w:val="18"/>
                <w:szCs w:val="18"/>
              </w:rPr>
              <w:t xml:space="preserve">Target Tier</w:t>
            </w:r>
          </w:p>
          <w:p>
            <w:pPr>
              <w:jc w:val="center"/>
            </w:pPr>
            <w:r>
              <w:rPr>
                <w:rFonts w:ascii="Arial" w:cs="Arial" w:eastAsia="Arial" w:hAnsi="Arial"/>
                <w:color w:val="FFFFFF"/>
                <w:sz w:val="20"/>
                <w:szCs w:val="20"/>
              </w:rPr>
              <w:t xml:space="preserve">IEEE TKDE / ACM SIGIR
JCR Q1 (IF &gt; 8)</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CCDDFF"/>
                <w:sz w:val="18"/>
                <w:szCs w:val="18"/>
              </w:rPr>
              <w:t xml:space="preserve">Scope</w:t>
            </w:r>
          </w:p>
          <w:p>
            <w:pPr>
              <w:jc w:val="center"/>
            </w:pPr>
            <w:r>
              <w:rPr>
                <w:rFonts w:ascii="Arial" w:cs="Arial" w:eastAsia="Arial" w:hAnsi="Arial"/>
                <w:color w:val="FFFFFF"/>
                <w:sz w:val="20"/>
                <w:szCs w:val="20"/>
              </w:rPr>
              <w:t xml:space="preserve">Major Revision
All Sections Covered</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pPr>
              <w:jc w:val="center"/>
            </w:pPr>
            <w:r>
              <w:rPr>
                <w:rFonts w:ascii="Arial" w:cs="Arial" w:eastAsia="Arial" w:hAnsi="Arial"/>
                <w:b/>
                <w:bCs/>
                <w:color w:val="CCDDFF"/>
                <w:sz w:val="18"/>
                <w:szCs w:val="18"/>
              </w:rPr>
              <w:t xml:space="preserve">Estimated Timeline</w:t>
            </w:r>
          </w:p>
          <w:p>
            <w:pPr>
              <w:jc w:val="center"/>
            </w:pPr>
            <w:r>
              <w:rPr>
                <w:rFonts w:ascii="Arial" w:cs="Arial" w:eastAsia="Arial" w:hAnsi="Arial"/>
                <w:color w:val="FFFFFF"/>
                <w:sz w:val="20"/>
                <w:szCs w:val="20"/>
              </w:rPr>
              <w:t xml:space="preserve">12–16 Weeks
Phased Approach</w:t>
            </w:r>
          </w:p>
        </w:tc>
      </w:tr>
    </w:tbl>
    <w:p>
      <w:pPr>
        <w:spacing w:before="200" w:after="10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1. Executive Summary</w:t>
      </w:r>
    </w:p>
    <w:p>
      <w:pPr>
        <w:spacing w:before="80" w:after="80" w:line="320" w:lineRule="auto"/>
        <w:jc w:val="both"/>
      </w:pPr>
      <w:r>
        <w:rPr>
          <w:rFonts w:ascii="Arial" w:cs="Arial" w:eastAsia="Arial" w:hAnsi="Arial"/>
          <w:color w:val="1A1A1A"/>
          <w:sz w:val="20"/>
          <w:szCs w:val="20"/>
        </w:rPr>
        <w:t xml:space="preserve">Sanshodhak presents a genuinely novel contribution — the Adaptive Hybrid Retrieval (AHR) architecture with dual-edge knowledge graph expansion — and reports the first four-way ablation study comparing Dense, Hybrid, Graph-only, and Hybrid+Graph retrieval on a scholarly RAG corpus. These are strong foundations for a Q1 journal publication.</w:t>
      </w:r>
    </w:p>
    <w:p>
      <w:pPr>
        <w:spacing w:before="60" w:after="60"/>
      </w:pPr>
      <w:r>
        <w:t xml:space="preserve"/>
      </w:r>
    </w:p>
    <w:p>
      <w:pPr>
        <w:spacing w:before="80" w:after="80" w:line="320" w:lineRule="auto"/>
        <w:jc w:val="both"/>
      </w:pPr>
      <w:r>
        <w:rPr>
          <w:rFonts w:ascii="Arial" w:cs="Arial" w:eastAsia="Arial" w:hAnsi="Arial"/>
          <w:color w:val="1A1A1A"/>
          <w:sz w:val="20"/>
          <w:szCs w:val="20"/>
        </w:rPr>
        <w:t xml:space="preserve">However, in its current form, the paper has critical gaps that reviewers at IEEE TKDE, ACM SIGIR, or ECIR would immediately flag. This plan organises every required change into a structured, prioritised roadmap with timelines, concrete actions, and target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0000" w:val="clear"/>
            <w:tcMar>
              <w:top w:type="dxa" w:w="200"/>
              <w:left w:type="dxa" w:w="240"/>
              <w:bottom w:type="dxa" w:w="200"/>
              <w:right w:type="dxa" w:w="240"/>
            </w:tcMar>
          </w:tcPr>
          <w:p>
            <w:pPr>
              <w:spacing w:before="0" w:after="100"/>
            </w:pPr>
            <w:r>
              <w:rPr>
                <w:rFonts w:ascii="Arial" w:cs="Arial" w:eastAsia="Arial" w:hAnsi="Arial"/>
                <w:b/>
                <w:bCs/>
                <w:color w:val="FFFFFF"/>
                <w:sz w:val="22"/>
                <w:szCs w:val="22"/>
              </w:rPr>
              <w:t xml:space="preserve">🔴  Three Issues That Will Cause Immediate Desk Rejection (Fix These First)</w:t>
            </w:r>
          </w:p>
          <w:p>
            <w:pPr>
              <w:spacing w:before="60" w:after="40"/>
            </w:pPr>
            <w:r>
              <w:rPr>
                <w:rFonts w:ascii="Arial" w:cs="Arial" w:eastAsia="Arial" w:hAnsi="Arial"/>
                <w:color w:val="FFFFFF"/>
                <w:sz w:val="20"/>
                <w:szCs w:val="20"/>
              </w:rPr>
              <w:t xml:space="preserve">1.  Broken citations — All references appear as [?] throughout the paper. No citation is resolved.</w:t>
            </w:r>
          </w:p>
          <w:p>
            <w:pPr>
              <w:spacing w:before="40" w:after="40"/>
            </w:pPr>
            <w:r>
              <w:rPr>
                <w:rFonts w:ascii="Arial" w:cs="Arial" w:eastAsia="Arial" w:hAnsi="Arial"/>
                <w:color w:val="FFFFFF"/>
                <w:sz w:val="20"/>
                <w:szCs w:val="20"/>
              </w:rPr>
              <w:t xml:space="preserve">2.  Trivially small corpus — 36 papers / 3,383 chunks is far below the bar for IR publication.</w:t>
            </w:r>
          </w:p>
          <w:p>
            <w:pPr>
              <w:spacing w:before="40" w:after="60"/>
            </w:pPr>
            <w:r>
              <w:rPr>
                <w:rFonts w:ascii="Arial" w:cs="Arial" w:eastAsia="Arial" w:hAnsi="Arial"/>
                <w:color w:val="FFFFFF"/>
                <w:sz w:val="20"/>
                <w:szCs w:val="20"/>
              </w:rPr>
              <w:t xml:space="preserve">3.  Single-author annotation — Binary relevance judgments from question authors only (no IAA reported).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E0" w:val="clear"/>
            <w:tcMar>
              <w:top w:type="dxa" w:w="200"/>
              <w:left w:type="dxa" w:w="240"/>
              <w:bottom w:type="dxa" w:w="200"/>
              <w:right w:type="dxa" w:w="240"/>
            </w:tcMar>
          </w:tcPr>
          <w:p>
            <w:pPr>
              <w:spacing w:before="0" w:after="100"/>
            </w:pPr>
            <w:r>
              <w:rPr>
                <w:rFonts w:ascii="Arial" w:cs="Arial" w:eastAsia="Arial" w:hAnsi="Arial"/>
                <w:b/>
                <w:bCs/>
                <w:color w:val="FFFFFF"/>
                <w:sz w:val="22"/>
                <w:szCs w:val="22"/>
              </w:rPr>
              <w:t xml:space="preserve">🟢  Core Strengths to Preserve and Amplify</w:t>
            </w:r>
          </w:p>
          <w:p>
            <w:pPr>
              <w:spacing w:before="60" w:after="40"/>
            </w:pPr>
            <w:r>
              <w:rPr>
                <w:rFonts w:ascii="Arial" w:cs="Arial" w:eastAsia="Arial" w:hAnsi="Arial"/>
                <w:color w:val="1A3A1A"/>
                <w:sz w:val="20"/>
                <w:szCs w:val="20"/>
              </w:rPr>
              <w:t xml:space="preserve">✓  First published four-way ablation: VR-D vs VR-H vs GR vs HGR — genuinely novel benchmark contribution.</w:t>
            </w:r>
          </w:p>
          <w:p>
            <w:pPr>
              <w:spacing w:before="40" w:after="40"/>
            </w:pPr>
            <w:r>
              <w:rPr>
                <w:rFonts w:ascii="Arial" w:cs="Arial" w:eastAsia="Arial" w:hAnsi="Arial"/>
                <w:color w:val="1A3A1A"/>
                <w:sz w:val="20"/>
                <w:szCs w:val="20"/>
              </w:rPr>
              <w:t xml:space="preserve">✓  Lightweight dual-edge knowledge graph (no NER, no graph DB) — reproducible, practical, deployable.</w:t>
            </w:r>
          </w:p>
          <w:p>
            <w:pPr>
              <w:spacing w:before="40" w:after="40"/>
            </w:pPr>
            <w:r>
              <w:rPr>
                <w:rFonts w:ascii="Arial" w:cs="Arial" w:eastAsia="Arial" w:hAnsi="Arial"/>
                <w:color w:val="1A3A1A"/>
                <w:sz w:val="20"/>
                <w:szCs w:val="20"/>
              </w:rPr>
              <w:t xml:space="preserve">✓  Slot-reservation mechanism — a specific, novel engineering contribution.</w:t>
            </w:r>
          </w:p>
          <w:p>
            <w:pPr>
              <w:spacing w:before="40" w:after="60"/>
            </w:pPr>
            <w:r>
              <w:rPr>
                <w:rFonts w:ascii="Arial" w:cs="Arial" w:eastAsia="Arial" w:hAnsi="Arial"/>
                <w:color w:val="1A3A1A"/>
                <w:sz w:val="20"/>
                <w:szCs w:val="20"/>
              </w:rPr>
              <w:t xml:space="preserve">✓  Nine-source ingestion pipeline — strong applied systems contribution.</w:t>
            </w:r>
          </w:p>
        </w:tc>
      </w:tr>
    </w:tbl>
    <w:p>
      <w:r>
        <w:br w:type="page"/>
      </w:r>
    </w:p>
    <w:p>
      <w:pPr>
        <w:pStyle w:val="Heading1"/>
        <w:spacing w:before="400" w:after="160"/>
      </w:pPr>
      <w:r>
        <w:rPr>
          <w:rFonts w:ascii="Arial" w:cs="Arial" w:eastAsia="Arial" w:hAnsi="Arial"/>
          <w:b/>
          <w:bCs/>
          <w:color w:val="1F4E79"/>
          <w:sz w:val="32"/>
          <w:szCs w:val="32"/>
        </w:rPr>
        <w:t xml:space="preserve">2. Master Priority Table</w:t>
      </w:r>
    </w:p>
    <w:p>
      <w:pPr>
        <w:spacing w:before="80" w:after="80" w:line="320" w:lineRule="auto"/>
        <w:jc w:val="both"/>
      </w:pPr>
      <w:r>
        <w:rPr>
          <w:rFonts w:ascii="Arial" w:cs="Arial" w:eastAsia="Arial" w:hAnsi="Arial"/>
          <w:color w:val="1A1A1A"/>
          <w:sz w:val="20"/>
          <w:szCs w:val="20"/>
        </w:rPr>
        <w:t xml:space="preserve">The table below lists every identified gap in priority order. Each item maps to a detailed section later in this document.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760"/>
        <w:gridCol w:w="24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 / Gap</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 citations are unresolved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Resolve every reference; use IEEE BibTeX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 rejection risk</w:t>
            </w:r>
          </w:p>
        </w:tc>
      </w:tr>
      <w:tr>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Corpus is 36 papers / 3,383 chunks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Expand to ≥500 papers across ≥3 domains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IR pub bar not met</w:t>
            </w:r>
          </w:p>
        </w:tc>
      </w:tr>
      <w:tr>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inter-annotator agreement (IAA)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2nd annotator + report Cohen's κ ≥ 0.70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Validity of evaluation</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7D5A00"/>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Only 20 evaluation questions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Expand to ≥100 questions across query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Statistical significance</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7D5A00"/>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numbering error (VIII → 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Renumber: IX=Ethics, X=Conclusion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Professionalism</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7D5A00"/>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statistical significance tests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Wilcoxon signed-rank + effect sizes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Scientific rigor</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7D5A00"/>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BEIR benchmark comparison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Report on ≥3 BEIR subsets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External validity</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7D5A00"/>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Citation edges contribute 0 matches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Fix regex OR replace with DOI/Semantic Scholar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 architecture</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7D5A00"/>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Missing architecture diagram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proper system diagram (not ASCII 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IEEE formatting</w:t>
            </w:r>
          </w:p>
        </w:tc>
      </w:tr>
      <w:tr>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7D5A00"/>
                <w:sz w:val="18"/>
                <w:szCs w:val="18"/>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VR-H underperforms VR-D unexpectedly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Investigate + explain more rigorously with ablation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Credibility</w:t>
            </w:r>
          </w:p>
        </w:tc>
      </w:tr>
      <w:tr>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hallucination not quantified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factual accuracy / citation grounding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Completeness</w:t>
            </w:r>
          </w:p>
        </w:tc>
      </w:tr>
      <w:tr>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comparison to published baselines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Compare against REALM, RAG-fusion, ColBERT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Positioning</w:t>
            </w:r>
          </w:p>
        </w:tc>
      </w:tr>
      <w:tr>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rank-bm25 not scalable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Discuss / benchmark Lucene/Elasticsearch alternative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Practical contribution</w:t>
            </w:r>
          </w:p>
        </w:tc>
      </w:tr>
      <w:tr>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Cross-encoder reranking absent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as 5th ablation variant (mentioned in Future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Ablation depth</w:t>
            </w:r>
          </w:p>
        </w:tc>
      </w:tr>
      <w:tr>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multi-domain 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Evaluate on biomedical + legal subsets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Generalisability</w:t>
            </w:r>
          </w:p>
        </w:tc>
      </w:tr>
      <w:tr>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BERTScore VR-H entry is 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Fix tokenizer compatibility issue and rerun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Table completeness</w:t>
            </w:r>
          </w:p>
        </w:tc>
      </w:tr>
      <w:tr>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Latency measured on only n=20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Report latency at n=100+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Reliability</w:t>
            </w:r>
          </w:p>
        </w:tc>
      </w:tr>
      <w:tr>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Resource recommendation module undescribed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subsection + evaluation of recommendation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Completeness</w:t>
            </w:r>
          </w:p>
        </w:tc>
      </w:tr>
    </w:tbl>
    <w:p>
      <w:r>
        <w:br w:type="page"/>
      </w:r>
    </w:p>
    <w:p>
      <w:pPr>
        <w:pStyle w:val="Heading1"/>
        <w:spacing w:before="400" w:after="160"/>
      </w:pPr>
      <w:r>
        <w:rPr>
          <w:rFonts w:ascii="Arial" w:cs="Arial" w:eastAsia="Arial" w:hAnsi="Arial"/>
          <w:b/>
          <w:bCs/>
          <w:color w:val="1F4E79"/>
          <w:sz w:val="32"/>
          <w:szCs w:val="32"/>
        </w:rPr>
        <w:t xml:space="preserve">3. Critical Fixes (Must Complete Before Submission)</w:t>
      </w:r>
    </w:p>
    <w:p>
      <w:pPr>
        <w:pStyle w:val="Heading2"/>
        <w:spacing w:before="280" w:after="120"/>
      </w:pPr>
      <w:r>
        <w:rPr>
          <w:rFonts w:ascii="Arial" w:cs="Arial" w:eastAsia="Arial" w:hAnsi="Arial"/>
          <w:b/>
          <w:bCs/>
          <w:color w:val="2E75B6"/>
          <w:sz w:val="26"/>
          <w:szCs w:val="26"/>
        </w:rPr>
        <w:t xml:space="preserve">3.1  Resolve All Citations</w:t>
      </w:r>
    </w:p>
    <w:p>
      <w:pPr>
        <w:spacing w:before="80" w:after="80" w:line="320" w:lineRule="auto"/>
        <w:jc w:val="both"/>
      </w:pPr>
      <w:r>
        <w:rPr>
          <w:rFonts w:ascii="Arial" w:cs="Arial" w:eastAsia="Arial" w:hAnsi="Arial"/>
          <w:color w:val="1A1A1A"/>
          <w:sz w:val="20"/>
          <w:szCs w:val="20"/>
        </w:rPr>
        <w:t xml:space="preserve">Every citation in the current draft appears as [?]. This is a manuscript management error, likely from a missing .bib file or broken LaTeX compile. No peer-reviewed journal will process a paper with unresolved references.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240"/>
              <w:bottom w:type="dxa" w:w="200"/>
              <w:right w:type="dxa" w:w="240"/>
            </w:tcMar>
          </w:tcPr>
          <w:p>
            <w:pPr>
              <w:spacing w:before="0" w:after="100"/>
            </w:pPr>
            <w:r>
              <w:rPr>
                <w:rFonts w:ascii="Arial" w:cs="Arial" w:eastAsia="Arial" w:hAnsi="Arial"/>
                <w:b/>
                <w:bCs/>
                <w:color w:val="FFFFFF"/>
                <w:sz w:val="22"/>
                <w:szCs w:val="22"/>
              </w:rPr>
              <w:t xml:space="preserve">Action Required</w:t>
            </w:r>
          </w:p>
          <w:p>
            <w:pPr>
              <w:spacing w:before="60" w:after="40"/>
            </w:pPr>
            <w:r>
              <w:rPr>
                <w:rFonts w:ascii="Arial" w:cs="Arial" w:eastAsia="Arial" w:hAnsi="Arial"/>
                <w:color w:val="FFFFFF"/>
                <w:sz w:val="20"/>
                <w:szCs w:val="20"/>
              </w:rPr>
              <w:t xml:space="preserve">Step 1: Compile a complete BibTeX file covering all cited works.</w:t>
            </w:r>
          </w:p>
          <w:p>
            <w:pPr>
              <w:spacing w:before="40" w:after="40"/>
            </w:pPr>
            <w:r>
              <w:rPr>
                <w:rFonts w:ascii="Arial" w:cs="Arial" w:eastAsia="Arial" w:hAnsi="Arial"/>
                <w:color w:val="FFFFFF"/>
                <w:sz w:val="20"/>
                <w:szCs w:val="20"/>
              </w:rPr>
              <w:t xml:space="preserve">Step 2: Ensure every [?] is replaced with a resolved IEEE-style citation key.</w:t>
            </w:r>
          </w:p>
          <w:p>
            <w:pPr>
              <w:spacing w:before="40" w:after="40"/>
            </w:pPr>
            <w:r>
              <w:rPr>
                <w:rFonts w:ascii="Arial" w:cs="Arial" w:eastAsia="Arial" w:hAnsi="Arial"/>
                <w:color w:val="FFFFFF"/>
                <w:sz w:val="20"/>
                <w:szCs w:val="20"/>
              </w:rPr>
              <w:t xml:space="preserve">Step 3: For seminal works (Lewis et al. RAG, Karpukhin DPR, Robertson BM25, Cormack RRF, Johnson FAISS, Lin BEIR), use official DBLP BibTeX entries.</w:t>
            </w:r>
          </w:p>
          <w:p>
            <w:pPr>
              <w:spacing w:before="40" w:after="60"/>
            </w:pPr>
            <w:r>
              <w:rPr>
                <w:rFonts w:ascii="Arial" w:cs="Arial" w:eastAsia="Arial" w:hAnsi="Arial"/>
                <w:color w:val="FFFFFF"/>
                <w:sz w:val="20"/>
                <w:szCs w:val="20"/>
              </w:rPr>
              <w:t xml:space="preserve">Step 4: Run a full compile + manual check of the reference list before submission.</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3.2  Scale the Corpus</w:t>
      </w:r>
    </w:p>
    <w:p>
      <w:pPr>
        <w:spacing w:before="80" w:after="80" w:line="320" w:lineRule="auto"/>
        <w:jc w:val="both"/>
      </w:pPr>
      <w:r>
        <w:rPr>
          <w:rFonts w:ascii="Arial" w:cs="Arial" w:eastAsia="Arial" w:hAnsi="Arial"/>
          <w:color w:val="1A1A1A"/>
          <w:sz w:val="20"/>
          <w:szCs w:val="20"/>
        </w:rPr>
        <w:t xml:space="preserve">IR publication norms — especially for retrieval ablation studies — require substantially larger corpora. The 36-paper corpus is appropriate for a workshop paper or system demo, not a full IEEE TKDE / ACM SIGIR journal article.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Papers</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1A1A1A"/>
                <w:sz w:val="18"/>
                <w:szCs w:val="18"/>
              </w:rPr>
              <w:t xml:space="preserve">36</w:t>
            </w:r>
          </w:p>
        </w:tc>
        <w:tc>
          <w:tcPr>
            <w:tcW w:type="dxa" w:w="312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color w:val="1A1A1A"/>
                <w:sz w:val="18"/>
                <w:szCs w:val="18"/>
              </w:rPr>
              <w:t xml:space="preserve">≥ 500 (across 3+ domains)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Chunks</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1A1A1A"/>
                <w:sz w:val="18"/>
                <w:szCs w:val="18"/>
              </w:rPr>
              <w:t xml:space="preserve">3,383</w:t>
            </w:r>
          </w:p>
        </w:tc>
        <w:tc>
          <w:tcPr>
            <w:tcW w:type="dxa" w:w="312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color w:val="1A1A1A"/>
                <w:sz w:val="18"/>
                <w:szCs w:val="18"/>
              </w:rPr>
              <w:t xml:space="preserve">≥ 50,000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Domains</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1A1A1A"/>
                <w:sz w:val="18"/>
                <w:szCs w:val="18"/>
              </w:rPr>
              <w:t xml:space="preserve">1 (RAG/NLP)</w:t>
            </w:r>
          </w:p>
        </w:tc>
        <w:tc>
          <w:tcPr>
            <w:tcW w:type="dxa" w:w="312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color w:val="1A1A1A"/>
                <w:sz w:val="18"/>
                <w:szCs w:val="18"/>
              </w:rPr>
              <w:t xml:space="preserve">≥ 3 (NLP + BioMed + Legal/Finance)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Eval questions</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1A1A1A"/>
                <w:sz w:val="18"/>
                <w:szCs w:val="18"/>
              </w:rPr>
              <w:t xml:space="preserve">20</w:t>
            </w:r>
          </w:p>
        </w:tc>
        <w:tc>
          <w:tcPr>
            <w:tcW w:type="dxa" w:w="312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color w:val="1A1A1A"/>
                <w:sz w:val="18"/>
                <w:szCs w:val="18"/>
              </w:rPr>
              <w:t xml:space="preserve">≥ 100 (stratified by query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Relevance judgments</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color w:val="1A1A1A"/>
                <w:sz w:val="18"/>
                <w:szCs w:val="18"/>
              </w:rPr>
              <w:t xml:space="preserve">Single annotator</w:t>
            </w:r>
          </w:p>
        </w:tc>
        <w:tc>
          <w:tcPr>
            <w:tcW w:type="dxa" w:w="312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color w:val="1A1A1A"/>
                <w:sz w:val="18"/>
                <w:szCs w:val="18"/>
              </w:rPr>
              <w:t xml:space="preserve">2 annotators + Cohen's κ ≥ 0.70</w:t>
            </w:r>
          </w:p>
        </w:tc>
      </w:tr>
    </w:tbl>
    <w:p>
      <w:pPr>
        <w:spacing w:before="80" w:after="80"/>
      </w:pPr>
      <w:r>
        <w:t xml:space="preserve"/>
      </w:r>
    </w:p>
    <w:p>
      <w:pPr>
        <w:spacing w:before="80" w:after="80" w:line="320" w:lineRule="auto"/>
        <w:jc w:val="both"/>
      </w:pPr>
      <w:r>
        <w:rPr>
          <w:rFonts w:ascii="Arial" w:cs="Arial" w:eastAsia="Arial" w:hAnsi="Arial"/>
          <w:color w:val="1A1A1A"/>
          <w:sz w:val="20"/>
          <w:szCs w:val="20"/>
        </w:rPr>
        <w:t xml:space="preserve">Use Sanshodhak's own nine-source ingestion pipeline to build the expanded corpus. Target 200 RAG/IR papers, 200 biomedical papers (PubMed), and 100 legal/finance preprints (arXiv). This simultaneously validates the ingestion layer at scale.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3.3  Fix the Inter-Annotator Agreement Gap</w:t>
      </w:r>
    </w:p>
    <w:p>
      <w:pPr>
        <w:spacing w:before="80" w:after="80" w:line="320" w:lineRule="auto"/>
        <w:jc w:val="both"/>
      </w:pPr>
      <w:r>
        <w:rPr>
          <w:rFonts w:ascii="Arial" w:cs="Arial" w:eastAsia="Arial" w:hAnsi="Arial"/>
          <w:color w:val="1A1A1A"/>
          <w:sz w:val="20"/>
          <w:szCs w:val="20"/>
        </w:rPr>
        <w:t xml:space="preserve">The current paper states: 'Binary relevance judgments are assigned by document-level matching … as determined at question authoring time.' This means the same person who wrote the questions also labelled the correct answers — a serious construct validity problem.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240"/>
              <w:bottom w:type="dxa" w:w="200"/>
              <w:right w:type="dxa" w:w="240"/>
            </w:tcMar>
          </w:tcPr>
          <w:p>
            <w:pPr>
              <w:spacing w:before="0" w:after="100"/>
            </w:pPr>
            <w:r>
              <w:rPr>
                <w:rFonts w:ascii="Arial" w:cs="Arial" w:eastAsia="Arial" w:hAnsi="Arial"/>
                <w:b/>
                <w:bCs/>
                <w:color w:val="FFFFFF"/>
                <w:sz w:val="22"/>
                <w:szCs w:val="22"/>
              </w:rPr>
              <w:t xml:space="preserve">Remediation Protocol</w:t>
            </w:r>
          </w:p>
          <w:p>
            <w:pPr>
              <w:spacing w:before="60" w:after="40"/>
            </w:pPr>
            <w:r>
              <w:rPr>
                <w:rFonts w:ascii="Arial" w:cs="Arial" w:eastAsia="Arial" w:hAnsi="Arial"/>
                <w:color w:val="FFFFFF"/>
                <w:sz w:val="20"/>
                <w:szCs w:val="20"/>
              </w:rPr>
              <w:t xml:space="preserve">1.  Recruit a second annotator (ideally a graduate student in IR/NLP) to independently judge relevance for all questions.</w:t>
            </w:r>
          </w:p>
          <w:p>
            <w:pPr>
              <w:spacing w:before="40" w:after="40"/>
            </w:pPr>
            <w:r>
              <w:rPr>
                <w:rFonts w:ascii="Arial" w:cs="Arial" w:eastAsia="Arial" w:hAnsi="Arial"/>
                <w:color w:val="FFFFFF"/>
                <w:sz w:val="20"/>
                <w:szCs w:val="20"/>
              </w:rPr>
              <w:t xml:space="preserve">2.  Provide annotators with only the question text and candidate paper abstracts (no access to system outputs).</w:t>
            </w:r>
          </w:p>
          <w:p>
            <w:pPr>
              <w:spacing w:before="40" w:after="40"/>
            </w:pPr>
            <w:r>
              <w:rPr>
                <w:rFonts w:ascii="Arial" w:cs="Arial" w:eastAsia="Arial" w:hAnsi="Arial"/>
                <w:color w:val="FFFFFF"/>
                <w:sz w:val="20"/>
                <w:szCs w:val="20"/>
              </w:rPr>
              <w:t xml:space="preserve">3.  Compute Cohen's Kappa (κ). Target κ ≥ 0.70 (substantial agreement). Report this in the Experimental Setup section.</w:t>
            </w:r>
          </w:p>
          <w:p>
            <w:pPr>
              <w:spacing w:before="40" w:after="60"/>
            </w:pPr>
            <w:r>
              <w:rPr>
                <w:rFonts w:ascii="Arial" w:cs="Arial" w:eastAsia="Arial" w:hAnsi="Arial"/>
                <w:color w:val="FFFFFF"/>
                <w:sz w:val="20"/>
                <w:szCs w:val="20"/>
              </w:rPr>
              <w:t xml:space="preserve">4.  For disagreements: use majority vote or adjudication by a third annotator.</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3.4  Fix Section Numbering</w:t>
      </w:r>
    </w:p>
    <w:p>
      <w:pPr>
        <w:spacing w:before="80" w:after="80" w:line="320" w:lineRule="auto"/>
        <w:jc w:val="both"/>
      </w:pPr>
      <w:r>
        <w:rPr>
          <w:rFonts w:ascii="Arial" w:cs="Arial" w:eastAsia="Arial" w:hAnsi="Arial"/>
          <w:color w:val="1A1A1A"/>
          <w:sz w:val="20"/>
          <w:szCs w:val="20"/>
        </w:rPr>
        <w:t xml:space="preserve">The paper jumps from Section VII (Discussion) directly to Section IX (Ethics) — Section VIII is missing and Section X is used for Conclusion while the Introduction promises 'Section X concludes.' Renumber as follows: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3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3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Corrected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VII</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Discussion</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Discussion (unchanged)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VIII</w:t>
            </w:r>
          </w:p>
        </w:tc>
        <w:tc>
          <w:tcPr>
            <w:tcW w:type="dxa" w:w="393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00000"/>
                <w:sz w:val="18"/>
                <w:szCs w:val="18"/>
              </w:rPr>
              <w:t xml:space="preserve">MISSING</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Threats to Validity (currently mislabelled VIII but content is present)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IX</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Ethics (mislabelled as IX already)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Ethics, Compliance &amp; Responsible Use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X</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Conclusion (unreachable from intro)</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Conclusion</w:t>
            </w:r>
          </w:p>
        </w:tc>
      </w:tr>
    </w:tbl>
    <w:p>
      <w:r>
        <w:br w:type="page"/>
      </w:r>
    </w:p>
    <w:p>
      <w:pPr>
        <w:pStyle w:val="Heading1"/>
        <w:spacing w:before="400" w:after="160"/>
      </w:pPr>
      <w:r>
        <w:rPr>
          <w:rFonts w:ascii="Arial" w:cs="Arial" w:eastAsia="Arial" w:hAnsi="Arial"/>
          <w:b/>
          <w:bCs/>
          <w:color w:val="1F4E79"/>
          <w:sz w:val="32"/>
          <w:szCs w:val="32"/>
        </w:rPr>
        <w:t xml:space="preserve">4. High-Priority Improvements</w:t>
      </w:r>
    </w:p>
    <w:p>
      <w:pPr>
        <w:pStyle w:val="Heading2"/>
        <w:spacing w:before="280" w:after="120"/>
      </w:pPr>
      <w:r>
        <w:rPr>
          <w:rFonts w:ascii="Arial" w:cs="Arial" w:eastAsia="Arial" w:hAnsi="Arial"/>
          <w:b/>
          <w:bCs/>
          <w:color w:val="2E75B6"/>
          <w:sz w:val="26"/>
          <w:szCs w:val="26"/>
        </w:rPr>
        <w:t xml:space="preserve">4.1  Statistical Significance Testing</w:t>
      </w:r>
    </w:p>
    <w:p>
      <w:pPr>
        <w:spacing w:before="80" w:after="80" w:line="320" w:lineRule="auto"/>
        <w:jc w:val="both"/>
      </w:pPr>
      <w:r>
        <w:rPr>
          <w:rFonts w:ascii="Arial" w:cs="Arial" w:eastAsia="Arial" w:hAnsi="Arial"/>
          <w:color w:val="1A1A1A"/>
          <w:sz w:val="20"/>
          <w:szCs w:val="20"/>
        </w:rPr>
        <w:t xml:space="preserve">The ablation results (Table I) report absolute metric values but provide no statistical test to confirm that the HGR improvements are not due to chance. This is a standard requirement in IR publications.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200"/>
              <w:left w:type="dxa" w:w="240"/>
              <w:bottom w:type="dxa" w:w="200"/>
              <w:right w:type="dxa" w:w="240"/>
            </w:tcMar>
          </w:tcPr>
          <w:p>
            <w:pPr>
              <w:spacing w:before="0" w:after="100"/>
            </w:pPr>
            <w:r>
              <w:rPr>
                <w:rFonts w:ascii="Arial" w:cs="Arial" w:eastAsia="Arial" w:hAnsi="Arial"/>
                <w:b/>
                <w:bCs/>
                <w:color w:val="FFFFFF"/>
                <w:sz w:val="22"/>
                <w:szCs w:val="22"/>
              </w:rPr>
              <w:t xml:space="preserve">Required Actions</w:t>
            </w:r>
          </w:p>
          <w:p>
            <w:pPr>
              <w:spacing w:before="60" w:after="40"/>
            </w:pPr>
            <w:r>
              <w:rPr>
                <w:rFonts w:ascii="Arial" w:cs="Arial" w:eastAsia="Arial" w:hAnsi="Arial"/>
                <w:color w:val="FFFFFF"/>
                <w:sz w:val="20"/>
                <w:szCs w:val="20"/>
              </w:rPr>
              <w:t xml:space="preserve">• Apply Wilcoxon signed-rank test on per-query NDCG@10 scores comparing HGR vs each baseline (VR-D, VR-H, GR).</w:t>
            </w:r>
          </w:p>
          <w:p>
            <w:pPr>
              <w:spacing w:before="40" w:after="40"/>
            </w:pPr>
            <w:r>
              <w:rPr>
                <w:rFonts w:ascii="Arial" w:cs="Arial" w:eastAsia="Arial" w:hAnsi="Arial"/>
                <w:color w:val="FFFFFF"/>
                <w:sz w:val="20"/>
                <w:szCs w:val="20"/>
              </w:rPr>
              <w:t xml:space="preserve">• Report p-values (α = 0.05) and effect sizes (Cohen's d or Cliff's delta) in Table I.</w:t>
            </w:r>
          </w:p>
          <w:p>
            <w:pPr>
              <w:spacing w:before="40" w:after="60"/>
            </w:pPr>
            <w:r>
              <w:rPr>
                <w:rFonts w:ascii="Arial" w:cs="Arial" w:eastAsia="Arial" w:hAnsi="Arial"/>
                <w:color w:val="FFFFFF"/>
                <w:sz w:val="20"/>
                <w:szCs w:val="20"/>
              </w:rPr>
              <w:t xml:space="preserve">• Run multiple repetitions (5 seeds) of the question sampling if the question set is expanded, and report mean ± std.</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4.2  BEIR Benchmark Evaluation</w:t>
      </w:r>
    </w:p>
    <w:p>
      <w:pPr>
        <w:spacing w:before="80" w:after="80" w:line="320" w:lineRule="auto"/>
        <w:jc w:val="both"/>
      </w:pPr>
      <w:r>
        <w:rPr>
          <w:rFonts w:ascii="Arial" w:cs="Arial" w:eastAsia="Arial" w:hAnsi="Arial"/>
          <w:color w:val="1A1A1A"/>
          <w:sz w:val="20"/>
          <w:szCs w:val="20"/>
        </w:rPr>
        <w:t xml:space="preserve">BEIR (Benchmarking IR) is the gold-standard heterogeneous IR benchmark used in virtually every dense retrieval and hybrid retrieval paper since 2021. Reviewers at SIGIR, ECIR, and TKDE will expect at minimum a subset evaluation.</w:t>
      </w:r>
    </w:p>
    <w:p>
      <w:pPr>
        <w:spacing w:before="60" w:after="60"/>
      </w:pPr>
      <w:r>
        <w:t xml:space="preserve"/>
      </w:r>
    </w:p>
    <w:p>
      <w:pPr>
        <w:pStyle w:val="ListParagraph"/>
        <w:numPr>
          <w:ilvl w:val="0"/>
          <w:numId w:val="2"/>
        </w:numPr>
        <w:spacing w:before="60" w:after="60"/>
      </w:pPr>
      <w:r>
        <w:rPr>
          <w:rFonts w:ascii="Arial" w:cs="Arial" w:eastAsia="Arial" w:hAnsi="Arial"/>
          <w:color w:val="1A1A1A"/>
          <w:sz w:val="20"/>
          <w:szCs w:val="20"/>
        </w:rPr>
        <w:t xml:space="preserve">Evaluate AHR on at least 3 BEIR subsets: SciFact (scientific fact-checking), NFCorpus (biomedical), and TREC-COVID.</w:t>
      </w:r>
    </w:p>
    <w:p>
      <w:pPr>
        <w:pStyle w:val="ListParagraph"/>
        <w:numPr>
          <w:ilvl w:val="0"/>
          <w:numId w:val="2"/>
        </w:numPr>
        <w:spacing w:before="60" w:after="60"/>
      </w:pPr>
      <w:r>
        <w:rPr>
          <w:rFonts w:ascii="Arial" w:cs="Arial" w:eastAsia="Arial" w:hAnsi="Arial"/>
          <w:color w:val="1A1A1A"/>
          <w:sz w:val="20"/>
          <w:szCs w:val="20"/>
        </w:rPr>
        <w:t xml:space="preserve">These datasets align directly with the scholarly focus of Sanshodhak and can be loaded with the beir Python package.</w:t>
      </w:r>
    </w:p>
    <w:p>
      <w:pPr>
        <w:pStyle w:val="ListParagraph"/>
        <w:numPr>
          <w:ilvl w:val="0"/>
          <w:numId w:val="2"/>
        </w:numPr>
        <w:spacing w:before="60" w:after="60"/>
      </w:pPr>
      <w:r>
        <w:rPr>
          <w:rFonts w:ascii="Arial" w:cs="Arial" w:eastAsia="Arial" w:hAnsi="Arial"/>
          <w:color w:val="1A1A1A"/>
          <w:sz w:val="20"/>
          <w:szCs w:val="20"/>
        </w:rPr>
        <w:t xml:space="preserve">Report nDCG@10 to allow direct comparison against published BM25, DPR, Contriever, and SPLADE baselines.</w:t>
      </w:r>
    </w:p>
    <w:p>
      <w:pPr>
        <w:pStyle w:val="ListParagraph"/>
        <w:numPr>
          <w:ilvl w:val="0"/>
          <w:numId w:val="2"/>
        </w:numPr>
        <w:spacing w:before="60" w:after="60"/>
      </w:pPr>
      <w:r>
        <w:rPr>
          <w:rFonts w:ascii="Arial" w:cs="Arial" w:eastAsia="Arial" w:hAnsi="Arial"/>
          <w:color w:val="1A1A1A"/>
          <w:sz w:val="20"/>
          <w:szCs w:val="20"/>
        </w:rPr>
        <w:t xml:space="preserve">Frame the BEIR results as external validity evidence: AHR generalises beyond the in-domain RAG corpus.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4.3  Fix the Citation Edge Construction</w:t>
      </w:r>
    </w:p>
    <w:p>
      <w:pPr>
        <w:spacing w:before="80" w:after="80" w:line="320" w:lineRule="auto"/>
        <w:jc w:val="both"/>
      </w:pPr>
      <w:r>
        <w:rPr>
          <w:rFonts w:ascii="Arial" w:cs="Arial" w:eastAsia="Arial" w:hAnsi="Arial"/>
          <w:color w:val="1A1A1A"/>
          <w:sz w:val="20"/>
          <w:szCs w:val="20"/>
        </w:rPr>
        <w:t xml:space="preserve">The paper acknowledges: 'citation edges contribute 0 matched pairs (title strings do not match raw filename conventions).' This means the dual-edge graph currently uses ONLY vocabulary edges. The 'dual-edge' framing is therefore misleading and would attract reviewer criticism.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0000" w:val="clear"/>
            <w:tcMar>
              <w:top w:type="dxa" w:w="100"/>
              <w:left w:type="dxa" w:w="160"/>
              <w:bottom w:type="dxa" w:w="100"/>
              <w:right w:type="dxa" w:w="160"/>
            </w:tcMar>
          </w:tcPr>
          <w:p>
            <w:r>
              <w:rPr>
                <w:rFonts w:ascii="Arial" w:cs="Arial" w:eastAsia="Arial" w:hAnsi="Arial"/>
                <w:b/>
                <w:bCs/>
                <w:color w:val="FFFFFF"/>
                <w:sz w:val="20"/>
                <w:szCs w:val="20"/>
              </w:rPr>
              <w:t xml:space="preserve">Option A: Fix (Short Term)</w:t>
            </w:r>
          </w:p>
        </w:tc>
        <w:tc>
          <w:tcPr>
            <w:tcW w:type="dxa" w:w="4680"/>
            <w:tcBorders>
              <w:top w:val="single" w:color="CCCCCC" w:sz="1"/>
              <w:left w:val="single" w:color="CCCCCC" w:sz="1"/>
              <w:bottom w:val="single" w:color="CCCCCC" w:sz="1"/>
              <w:right w:val="single" w:color="CCCCCC" w:sz="1"/>
            </w:tcBorders>
            <w:shd w:fill="375623" w:val="clear"/>
            <w:tcMar>
              <w:top w:type="dxa" w:w="100"/>
              <w:left w:type="dxa" w:w="160"/>
              <w:bottom w:type="dxa" w:w="100"/>
              <w:right w:type="dxa" w:w="160"/>
            </w:tcMar>
          </w:tcPr>
          <w:p>
            <w:r>
              <w:rPr>
                <w:rFonts w:ascii="Arial" w:cs="Arial" w:eastAsia="Arial" w:hAnsi="Arial"/>
                <w:b/>
                <w:bCs/>
                <w:color w:val="FFFFFF"/>
                <w:sz w:val="20"/>
                <w:szCs w:val="20"/>
              </w:rPr>
              <w:t xml:space="preserve">Option B: Enhancement (Medium Term)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40"/>
            </w:pPr>
            <w:r>
              <w:rPr>
                <w:rFonts w:ascii="Arial" w:cs="Arial" w:eastAsia="Arial" w:hAnsi="Arial"/>
                <w:color w:val="1A1A1A"/>
                <w:sz w:val="19"/>
                <w:szCs w:val="19"/>
              </w:rPr>
              <w:t xml:space="preserve">• Keep regex but pre-process chunk titles to match filename conventions</w:t>
            </w:r>
          </w:p>
          <w:p>
            <w:pPr>
              <w:spacing w:before="40" w:after="40"/>
            </w:pPr>
            <w:r>
              <w:rPr>
                <w:rFonts w:ascii="Arial" w:cs="Arial" w:eastAsia="Arial" w:hAnsi="Arial"/>
                <w:color w:val="1A1A1A"/>
                <w:sz w:val="19"/>
                <w:szCs w:val="19"/>
              </w:rPr>
              <w:t xml:space="preserve">• Extract DOIs from reference sections and match via CrossRef API</w:t>
            </w:r>
          </w:p>
          <w:p>
            <w:pPr>
              <w:spacing w:before="40" w:after="40"/>
            </w:pPr>
            <w:r>
              <w:rPr>
                <w:rFonts w:ascii="Arial" w:cs="Arial" w:eastAsia="Arial" w:hAnsi="Arial"/>
                <w:color w:val="1A1A1A"/>
                <w:sz w:val="19"/>
                <w:szCs w:val="19"/>
              </w:rPr>
              <w:t xml:space="preserve">• Use Semantic Scholar API citation graph as ground-truth citation edges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40"/>
            </w:pPr>
            <w:r>
              <w:rPr>
                <w:rFonts w:ascii="Arial" w:cs="Arial" w:eastAsia="Arial" w:hAnsi="Arial"/>
                <w:color w:val="1A1A1A"/>
                <w:sz w:val="19"/>
                <w:szCs w:val="19"/>
              </w:rPr>
              <w:t xml:space="preserve">• Adds actual citation edges to the graph</w:t>
            </w:r>
          </w:p>
          <w:p>
            <w:pPr>
              <w:spacing w:before="40" w:after="40"/>
            </w:pPr>
            <w:r>
              <w:rPr>
                <w:rFonts w:ascii="Arial" w:cs="Arial" w:eastAsia="Arial" w:hAnsi="Arial"/>
                <w:color w:val="1A1A1A"/>
                <w:sz w:val="19"/>
                <w:szCs w:val="19"/>
              </w:rPr>
              <w:t xml:space="preserve">• Validates dual-edge architecture as designed</w:t>
            </w:r>
          </w:p>
          <w:p>
            <w:pPr>
              <w:spacing w:before="40" w:after="40"/>
            </w:pPr>
            <w:r>
              <w:rPr>
                <w:rFonts w:ascii="Arial" w:cs="Arial" w:eastAsia="Arial" w:hAnsi="Arial"/>
                <w:color w:val="1A1A1A"/>
                <w:sz w:val="19"/>
                <w:szCs w:val="19"/>
              </w:rPr>
              <w:t xml:space="preserve">• Improves graph density beyond vocabulary alone</w:t>
            </w:r>
          </w:p>
          <w:p>
            <w:pPr>
              <w:spacing w:before="40" w:after="40"/>
            </w:pPr>
            <w:r>
              <w:rPr>
                <w:rFonts w:ascii="Arial" w:cs="Arial" w:eastAsia="Arial" w:hAnsi="Arial"/>
                <w:color w:val="1A1A1A"/>
                <w:sz w:val="19"/>
                <w:szCs w:val="19"/>
              </w:rPr>
              <w:t xml:space="preserve">• Removes misleading claim from architecture section</w:t>
            </w:r>
          </w:p>
        </w:tc>
      </w:tr>
    </w:tbl>
    <w:p>
      <w:pPr>
        <w:spacing w:before="80" w:after="80"/>
      </w:pPr>
      <w:r>
        <w:t xml:space="preserve"/>
      </w:r>
    </w:p>
    <w:p>
      <w:pPr>
        <w:spacing w:before="80" w:after="80" w:line="320" w:lineRule="auto"/>
        <w:jc w:val="both"/>
      </w:pPr>
      <w:r>
        <w:rPr>
          <w:rFonts w:ascii="Arial" w:cs="Arial" w:eastAsia="Arial" w:hAnsi="Arial"/>
          <w:color w:val="1A1A1A"/>
          <w:sz w:val="20"/>
          <w:szCs w:val="20"/>
        </w:rPr>
        <w:t xml:space="preserve">Regardless of the fix chosen: update the architecture section to accurately describe which edge types are active, and include a separate ablation of vocabulary-only vs vocabulary+citation edges in the knowledge graph.</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4.4  Replace ASCII Pipeline Diagram</w:t>
      </w:r>
    </w:p>
    <w:p>
      <w:pPr>
        <w:spacing w:before="80" w:after="80" w:line="320" w:lineRule="auto"/>
        <w:jc w:val="both"/>
      </w:pPr>
      <w:r>
        <w:rPr>
          <w:rFonts w:ascii="Arial" w:cs="Arial" w:eastAsia="Arial" w:hAnsi="Arial"/>
          <w:color w:val="1A1A1A"/>
          <w:sz w:val="20"/>
          <w:szCs w:val="20"/>
        </w:rPr>
        <w:t xml:space="preserve">Figure 1 is an ASCII-art text diagram. IEEE TKDE and ACM SIGIR require professional vector figures (PDF, EPS, or high-res PNG at ≥300 DPI). An ASCII diagram will be flagged in typesetting and signals presentation immaturity.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100"/>
            </w:pPr>
            <w:r>
              <w:rPr>
                <w:rFonts w:ascii="Arial" w:cs="Arial" w:eastAsia="Arial" w:hAnsi="Arial"/>
                <w:b/>
                <w:bCs/>
                <w:color w:val="FFFFFF"/>
                <w:sz w:val="22"/>
                <w:szCs w:val="22"/>
              </w:rPr>
              <w:t xml:space="preserve">Replacement Diagram Specification</w:t>
            </w:r>
          </w:p>
          <w:p>
            <w:pPr>
              <w:spacing w:before="60" w:after="40"/>
            </w:pPr>
            <w:r>
              <w:rPr>
                <w:rFonts w:ascii="Arial" w:cs="Arial" w:eastAsia="Arial" w:hAnsi="Arial"/>
                <w:color w:val="FFFFFF"/>
                <w:sz w:val="20"/>
                <w:szCs w:val="20"/>
              </w:rPr>
              <w:t xml:space="preserve">Create a 4-layer horizontal swimlane diagram using draw.io, Lucidchart, or TikZ (for LaTeX):</w:t>
            </w:r>
          </w:p>
          <w:p>
            <w:pPr>
              <w:spacing w:before="40" w:after="30"/>
            </w:pPr>
            <w:r>
              <w:rPr>
                <w:rFonts w:ascii="Arial" w:cs="Arial" w:eastAsia="Arial" w:hAnsi="Arial"/>
                <w:color w:val="DDDDFF"/>
                <w:sz w:val="20"/>
                <w:szCs w:val="20"/>
              </w:rPr>
              <w:t xml:space="preserve">  Layer 1 (Ingestion): 9 API boxes → Dedup → Composite Rank → PDF Download</w:t>
            </w:r>
          </w:p>
          <w:p>
            <w:pPr>
              <w:spacing w:before="30" w:after="30"/>
            </w:pPr>
            <w:r>
              <w:rPr>
                <w:rFonts w:ascii="Arial" w:cs="Arial" w:eastAsia="Arial" w:hAnsi="Arial"/>
                <w:color w:val="DDDDFF"/>
                <w:sz w:val="20"/>
                <w:szCs w:val="20"/>
              </w:rPr>
              <w:t xml:space="preserve">  Layer 2 (Processing): GROBID → Chunker → BGE-M3 → FAISS / BM25</w:t>
            </w:r>
          </w:p>
          <w:p>
            <w:pPr>
              <w:spacing w:before="30" w:after="30"/>
            </w:pPr>
            <w:r>
              <w:rPr>
                <w:rFonts w:ascii="Arial" w:cs="Arial" w:eastAsia="Arial" w:hAnsi="Arial"/>
                <w:color w:val="DDDDFF"/>
                <w:sz w:val="20"/>
                <w:szCs w:val="20"/>
              </w:rPr>
              <w:t xml:space="preserve">  Layer 3 (Retrieval): Query → 3 parallel channels → RRF Fusion → Slot Reservation → Top-k</w:t>
            </w:r>
          </w:p>
          <w:p>
            <w:pPr>
              <w:spacing w:before="30" w:after="60"/>
            </w:pPr>
            <w:r>
              <w:rPr>
                <w:rFonts w:ascii="Arial" w:cs="Arial" w:eastAsia="Arial" w:hAnsi="Arial"/>
                <w:color w:val="DDDDFF"/>
                <w:sz w:val="20"/>
                <w:szCs w:val="20"/>
              </w:rPr>
              <w:t xml:space="preserve">  Layer 4 (Generation): DeepSeek-R1:7b → Cited Answer + Resource Recommendations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4.5  Explain the VR-H Underperformance</w:t>
      </w:r>
    </w:p>
    <w:p>
      <w:pPr>
        <w:spacing w:before="80" w:after="80" w:line="320" w:lineRule="auto"/>
        <w:jc w:val="both"/>
      </w:pPr>
      <w:r>
        <w:rPr>
          <w:rFonts w:ascii="Arial" w:cs="Arial" w:eastAsia="Arial" w:hAnsi="Arial"/>
          <w:color w:val="1A1A1A"/>
          <w:sz w:val="20"/>
          <w:szCs w:val="20"/>
        </w:rPr>
        <w:t xml:space="preserve">The fact that VR-H (BM25 + Dense) performs worse than VR-D (Dense only) across all metrics is counterintuitive and contradicts the BEIR hybrid retrieval literature. The paper provides a reasonable qualitative explanation (BM25 false positives for common NLP terms) but this needs quantitative support.</w:t>
      </w:r>
    </w:p>
    <w:p>
      <w:pPr>
        <w:spacing w:before="60" w:after="60"/>
      </w:pPr>
      <w:r>
        <w:t xml:space="preserve"/>
      </w:r>
    </w:p>
    <w:p>
      <w:pPr>
        <w:pStyle w:val="ListParagraph"/>
        <w:numPr>
          <w:ilvl w:val="0"/>
          <w:numId w:val="2"/>
        </w:numPr>
        <w:spacing w:before="60" w:after="60"/>
      </w:pPr>
      <w:r>
        <w:rPr>
          <w:rFonts w:ascii="Arial" w:cs="Arial" w:eastAsia="Arial" w:hAnsi="Arial"/>
          <w:color w:val="1A1A1A"/>
          <w:sz w:val="20"/>
          <w:szCs w:val="20"/>
        </w:rPr>
        <w:t xml:space="preserve">Add a per-query analysis table or figure showing 3–5 specific queries where VR-H fails relative to VR-D.</w:t>
      </w:r>
    </w:p>
    <w:p>
      <w:pPr>
        <w:pStyle w:val="ListParagraph"/>
        <w:numPr>
          <w:ilvl w:val="0"/>
          <w:numId w:val="2"/>
        </w:numPr>
        <w:spacing w:before="60" w:after="60"/>
      </w:pPr>
      <w:r>
        <w:rPr>
          <w:rFonts w:ascii="Arial" w:cs="Arial" w:eastAsia="Arial" w:hAnsi="Arial"/>
          <w:color w:val="1A1A1A"/>
          <w:sz w:val="20"/>
          <w:szCs w:val="20"/>
        </w:rPr>
        <w:t xml:space="preserve">Report the BM25 false-positive rate: how often does the top-1 BM25 result differ from and rank above the top-1 dense result, and how often is the BM25 result irrelevant?</w:t>
      </w:r>
    </w:p>
    <w:p>
      <w:pPr>
        <w:pStyle w:val="ListParagraph"/>
        <w:numPr>
          <w:ilvl w:val="0"/>
          <w:numId w:val="2"/>
        </w:numPr>
        <w:spacing w:before="60" w:after="60"/>
      </w:pPr>
      <w:r>
        <w:rPr>
          <w:rFonts w:ascii="Arial" w:cs="Arial" w:eastAsia="Arial" w:hAnsi="Arial"/>
          <w:color w:val="1A1A1A"/>
          <w:sz w:val="20"/>
          <w:szCs w:val="20"/>
        </w:rPr>
        <w:t xml:space="preserve">Consider adding a query categorisation (keyword-dense vs semantic-dense) and reporting per-category metrics.</w:t>
      </w:r>
    </w:p>
    <w:p>
      <w:pPr>
        <w:pStyle w:val="ListParagraph"/>
        <w:numPr>
          <w:ilvl w:val="0"/>
          <w:numId w:val="2"/>
        </w:numPr>
        <w:spacing w:before="60" w:after="60"/>
      </w:pPr>
      <w:r>
        <w:rPr>
          <w:rFonts w:ascii="Arial" w:cs="Arial" w:eastAsia="Arial" w:hAnsi="Arial"/>
          <w:color w:val="1A1A1A"/>
          <w:sz w:val="20"/>
          <w:szCs w:val="20"/>
        </w:rPr>
        <w:t xml:space="preserve">Cross-reference with BEIR literature: cite the specific query types where BM25 is known to introduce noise.</w:t>
      </w:r>
    </w:p>
    <w:p>
      <w:r>
        <w:br w:type="page"/>
      </w:r>
    </w:p>
    <w:p>
      <w:pPr>
        <w:pStyle w:val="Heading1"/>
        <w:spacing w:before="400" w:after="160"/>
      </w:pPr>
      <w:r>
        <w:rPr>
          <w:rFonts w:ascii="Arial" w:cs="Arial" w:eastAsia="Arial" w:hAnsi="Arial"/>
          <w:b/>
          <w:bCs/>
          <w:color w:val="1F4E79"/>
          <w:sz w:val="32"/>
          <w:szCs w:val="32"/>
        </w:rPr>
        <w:t xml:space="preserve">5. Medium-Priority Improvements</w:t>
      </w:r>
    </w:p>
    <w:p>
      <w:pPr>
        <w:pStyle w:val="Heading2"/>
        <w:spacing w:before="280" w:after="120"/>
      </w:pPr>
      <w:r>
        <w:rPr>
          <w:rFonts w:ascii="Arial" w:cs="Arial" w:eastAsia="Arial" w:hAnsi="Arial"/>
          <w:b/>
          <w:bCs/>
          <w:color w:val="2E75B6"/>
          <w:sz w:val="26"/>
          <w:szCs w:val="26"/>
        </w:rPr>
        <w:t xml:space="preserve">5.1  Hallucination / Factual Grounding Rate</w:t>
      </w:r>
    </w:p>
    <w:p>
      <w:pPr>
        <w:spacing w:before="80" w:after="80" w:line="320" w:lineRule="auto"/>
        <w:jc w:val="both"/>
      </w:pPr>
      <w:r>
        <w:rPr>
          <w:rFonts w:ascii="Arial" w:cs="Arial" w:eastAsia="Arial" w:hAnsi="Arial"/>
          <w:color w:val="1A1A1A"/>
          <w:sz w:val="20"/>
          <w:szCs w:val="20"/>
        </w:rPr>
        <w:t xml:space="preserve">The paper claims generated answers 'may contain hallucinated details despite retrieval grounding' but provides no quantification. For a system targeting scholarly research use, this is an important safety metric.</w:t>
      </w:r>
    </w:p>
    <w:p>
      <w:pPr>
        <w:spacing w:before="60" w:after="60"/>
      </w:pPr>
      <w:r>
        <w:t xml:space="preserve"/>
      </w:r>
    </w:p>
    <w:p>
      <w:pPr>
        <w:pStyle w:val="ListParagraph"/>
        <w:numPr>
          <w:ilvl w:val="0"/>
          <w:numId w:val="2"/>
        </w:numPr>
        <w:spacing w:before="60" w:after="60"/>
      </w:pPr>
      <w:r>
        <w:rPr>
          <w:rFonts w:ascii="Arial" w:cs="Arial" w:eastAsia="Arial" w:hAnsi="Arial"/>
          <w:color w:val="1A1A1A"/>
          <w:sz w:val="20"/>
          <w:szCs w:val="20"/>
        </w:rPr>
        <w:t xml:space="preserve">Define a factual grounding rate: for each generated sentence, check whether it is directly supported by one of the cited chunks.</w:t>
      </w:r>
    </w:p>
    <w:p>
      <w:pPr>
        <w:pStyle w:val="ListParagraph"/>
        <w:numPr>
          <w:ilvl w:val="0"/>
          <w:numId w:val="2"/>
        </w:numPr>
        <w:spacing w:before="60" w:after="60"/>
      </w:pPr>
      <w:r>
        <w:rPr>
          <w:rFonts w:ascii="Arial" w:cs="Arial" w:eastAsia="Arial" w:hAnsi="Arial"/>
          <w:color w:val="1A1A1A"/>
          <w:sz w:val="20"/>
          <w:szCs w:val="20"/>
        </w:rPr>
        <w:t xml:space="preserve">Use GPT-4 or a fine-tuned NLI model to assess entailment between each generated claim and its cited source chunk.</w:t>
      </w:r>
    </w:p>
    <w:p>
      <w:pPr>
        <w:pStyle w:val="ListParagraph"/>
        <w:numPr>
          <w:ilvl w:val="0"/>
          <w:numId w:val="2"/>
        </w:numPr>
        <w:spacing w:before="60" w:after="60"/>
      </w:pPr>
      <w:r>
        <w:rPr>
          <w:rFonts w:ascii="Arial" w:cs="Arial" w:eastAsia="Arial" w:hAnsi="Arial"/>
          <w:color w:val="1A1A1A"/>
          <w:sz w:val="20"/>
          <w:szCs w:val="20"/>
        </w:rPr>
        <w:t xml:space="preserve">Report the grounding rate per system variant in Table III. HGR's richer context should yield higher grounding.</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5.2  Comparison to Published Baselines</w:t>
      </w:r>
    </w:p>
    <w:p>
      <w:pPr>
        <w:spacing w:before="80" w:after="80" w:line="320" w:lineRule="auto"/>
        <w:jc w:val="both"/>
      </w:pPr>
      <w:r>
        <w:rPr>
          <w:rFonts w:ascii="Arial" w:cs="Arial" w:eastAsia="Arial" w:hAnsi="Arial"/>
          <w:color w:val="1A1A1A"/>
          <w:sz w:val="20"/>
          <w:szCs w:val="20"/>
        </w:rPr>
        <w:t xml:space="preserve">The ablation study is internally consistent but does not compare against published open-source RAG systems. Reviewers will ask: how does AHR compare to existing systems?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Baseline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Include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ColBERT v2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State-of-the-art dense retrieval — the strongest dense baseline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Santhanam et al., 2022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RAG-Fusion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Multi-query RRF — directly comparable to AHR's fusion strategy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Rackauckas, 2023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GraphRAG (Edge et 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The primary related graph-augmented RAG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Edge et al., 2024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SPLADE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Sparse learned retrieval — stronger than BM25 for scientific 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Formal et al., 2021</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5.3  Cross-Encoder Reranking (5th Ablation Variant)</w:t>
      </w:r>
    </w:p>
    <w:p>
      <w:pPr>
        <w:spacing w:before="80" w:after="80" w:line="320" w:lineRule="auto"/>
        <w:jc w:val="both"/>
      </w:pPr>
      <w:r>
        <w:rPr>
          <w:rFonts w:ascii="Arial" w:cs="Arial" w:eastAsia="Arial" w:hAnsi="Arial"/>
          <w:color w:val="1A1A1A"/>
          <w:sz w:val="20"/>
          <w:szCs w:val="20"/>
        </w:rPr>
        <w:t xml:space="preserve">The paper mentions 'cross-encoder reranking as a fifth ablation variant' in Future Work. This is within reach and would make the ablation study significantly more comprehensive and publishable.</w:t>
      </w:r>
    </w:p>
    <w:p>
      <w:pPr>
        <w:spacing w:before="60" w:after="60"/>
      </w:pPr>
      <w:r>
        <w:t xml:space="preserve"/>
      </w:r>
    </w:p>
    <w:p>
      <w:pPr>
        <w:pStyle w:val="ListParagraph"/>
        <w:numPr>
          <w:ilvl w:val="0"/>
          <w:numId w:val="2"/>
        </w:numPr>
        <w:spacing w:before="60" w:after="60"/>
      </w:pPr>
      <w:r>
        <w:rPr>
          <w:rFonts w:ascii="Arial" w:cs="Arial" w:eastAsia="Arial" w:hAnsi="Arial"/>
          <w:color w:val="1A1A1A"/>
          <w:sz w:val="20"/>
          <w:szCs w:val="20"/>
        </w:rPr>
        <w:t xml:space="preserve">Add HGR+CE: AHR retrieval followed by cross-encoder reranking (e.g., ms-marco-MiniLM-L-6-v2 via sentence-transformers).</w:t>
      </w:r>
    </w:p>
    <w:p>
      <w:pPr>
        <w:pStyle w:val="ListParagraph"/>
        <w:numPr>
          <w:ilvl w:val="0"/>
          <w:numId w:val="2"/>
        </w:numPr>
        <w:spacing w:before="60" w:after="60"/>
      </w:pPr>
      <w:r>
        <w:rPr>
          <w:rFonts w:ascii="Arial" w:cs="Arial" w:eastAsia="Arial" w:hAnsi="Arial"/>
          <w:color w:val="1A1A1A"/>
          <w:sz w:val="20"/>
          <w:szCs w:val="20"/>
        </w:rPr>
        <w:t xml:space="preserve">Report the additional latency cost of reranking — this is an important practical trade-off.</w:t>
      </w:r>
    </w:p>
    <w:p>
      <w:pPr>
        <w:pStyle w:val="ListParagraph"/>
        <w:numPr>
          <w:ilvl w:val="0"/>
          <w:numId w:val="2"/>
        </w:numPr>
        <w:spacing w:before="60" w:after="60"/>
      </w:pPr>
      <w:r>
        <w:rPr>
          <w:rFonts w:ascii="Arial" w:cs="Arial" w:eastAsia="Arial" w:hAnsi="Arial"/>
          <w:color w:val="1A1A1A"/>
          <w:sz w:val="20"/>
          <w:szCs w:val="20"/>
        </w:rPr>
        <w:t xml:space="preserve">This elevates the paper from a 4-way to a 5-way ablation, a stronger contribution for any IR venue.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5.4  Multi-Domain Generalisation Experiments</w:t>
      </w:r>
    </w:p>
    <w:p>
      <w:pPr>
        <w:spacing w:before="80" w:after="80" w:line="320" w:lineRule="auto"/>
        <w:jc w:val="both"/>
      </w:pPr>
      <w:r>
        <w:rPr>
          <w:rFonts w:ascii="Arial" w:cs="Arial" w:eastAsia="Arial" w:hAnsi="Arial"/>
          <w:color w:val="1A1A1A"/>
          <w:sz w:val="20"/>
          <w:szCs w:val="20"/>
        </w:rPr>
        <w:t xml:space="preserve">All current experiments use a single-domain corpus (RAG/NLP). Reviewers will flag this as a threat to external validity. Two additional domain evaluations would substantially strengthen the generalisability claim.</w:t>
      </w:r>
    </w:p>
    <w:p>
      <w:pPr>
        <w:spacing w:before="60" w:after="60"/>
      </w:pPr>
      <w:r>
        <w:t xml:space="preserve"/>
      </w:r>
    </w:p>
    <w:p>
      <w:pPr>
        <w:pStyle w:val="ListParagraph"/>
        <w:numPr>
          <w:ilvl w:val="0"/>
          <w:numId w:val="2"/>
        </w:numPr>
        <w:spacing w:before="60" w:after="60"/>
      </w:pPr>
      <w:r>
        <w:rPr>
          <w:rFonts w:ascii="Arial" w:cs="Arial" w:eastAsia="Arial" w:hAnsi="Arial"/>
          <w:color w:val="1A1A1A"/>
          <w:sz w:val="20"/>
          <w:szCs w:val="20"/>
        </w:rPr>
        <w:t xml:space="preserve">Domain 2: Biomedical — Use PubMed papers on a specific topic (e.g., COVID-19 treatment). Already supported by the ingestion pipeline.</w:t>
      </w:r>
    </w:p>
    <w:p>
      <w:pPr>
        <w:pStyle w:val="ListParagraph"/>
        <w:numPr>
          <w:ilvl w:val="0"/>
          <w:numId w:val="2"/>
        </w:numPr>
        <w:spacing w:before="60" w:after="60"/>
      </w:pPr>
      <w:r>
        <w:rPr>
          <w:rFonts w:ascii="Arial" w:cs="Arial" w:eastAsia="Arial" w:hAnsi="Arial"/>
          <w:color w:val="1A1A1A"/>
          <w:sz w:val="20"/>
          <w:szCs w:val="20"/>
        </w:rPr>
        <w:t xml:space="preserve">Domain 3: Legal / Finance — Use arXiv legal-NLP or finance papers.</w:t>
      </w:r>
    </w:p>
    <w:p>
      <w:pPr>
        <w:pStyle w:val="ListParagraph"/>
        <w:numPr>
          <w:ilvl w:val="0"/>
          <w:numId w:val="2"/>
        </w:numPr>
        <w:spacing w:before="60" w:after="60"/>
      </w:pPr>
      <w:r>
        <w:rPr>
          <w:rFonts w:ascii="Arial" w:cs="Arial" w:eastAsia="Arial" w:hAnsi="Arial"/>
          <w:color w:val="1A1A1A"/>
          <w:sz w:val="20"/>
          <w:szCs w:val="20"/>
        </w:rPr>
        <w:t xml:space="preserve">Report domain-specific NDCG@10 and MRR in a new table. Discuss whether AHR gains are consistent across domains.</w:t>
      </w:r>
    </w:p>
    <w:p>
      <w:r>
        <w:br w:type="page"/>
      </w:r>
    </w:p>
    <w:p>
      <w:pPr>
        <w:pStyle w:val="Heading1"/>
        <w:spacing w:before="400" w:after="160"/>
      </w:pPr>
      <w:r>
        <w:rPr>
          <w:rFonts w:ascii="Arial" w:cs="Arial" w:eastAsia="Arial" w:hAnsi="Arial"/>
          <w:b/>
          <w:bCs/>
          <w:color w:val="1F4E79"/>
          <w:sz w:val="32"/>
          <w:szCs w:val="32"/>
        </w:rPr>
        <w:t xml:space="preserve">6. Writing Quality &amp; Presentation Improvements</w:t>
      </w:r>
    </w:p>
    <w:p>
      <w:pPr>
        <w:pStyle w:val="Heading2"/>
        <w:spacing w:before="280" w:after="120"/>
      </w:pPr>
      <w:r>
        <w:rPr>
          <w:rFonts w:ascii="Arial" w:cs="Arial" w:eastAsia="Arial" w:hAnsi="Arial"/>
          <w:b/>
          <w:bCs/>
          <w:color w:val="2E75B6"/>
          <w:sz w:val="26"/>
          <w:szCs w:val="26"/>
        </w:rPr>
        <w:t xml:space="preserve">6.1  Abstract</w:t>
      </w:r>
    </w:p>
    <w:p>
      <w:pPr>
        <w:spacing w:before="80" w:after="80" w:line="320" w:lineRule="auto"/>
        <w:jc w:val="both"/>
      </w:pPr>
      <w:r>
        <w:rPr>
          <w:rFonts w:ascii="Arial" w:cs="Arial" w:eastAsia="Arial" w:hAnsi="Arial"/>
          <w:color w:val="1A1A1A"/>
          <w:sz w:val="20"/>
          <w:szCs w:val="20"/>
        </w:rPr>
        <w:t xml:space="preserve">The abstract is well-structured but can be tightened. Move the key result (HGR vs dense baseline improvement) to the first sentence, and remove redundant metric repetition.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0000" w:val="clear"/>
            <w:tcMar>
              <w:top w:type="dxa" w:w="100"/>
              <w:left w:type="dxa" w:w="160"/>
              <w:bottom w:type="dxa" w:w="100"/>
              <w:right w:type="dxa" w:w="160"/>
            </w:tcMar>
          </w:tcPr>
          <w:p>
            <w:r>
              <w:rPr>
                <w:rFonts w:ascii="Arial" w:cs="Arial" w:eastAsia="Arial" w:hAnsi="Arial"/>
                <w:b/>
                <w:bCs/>
                <w:color w:val="FFFFFF"/>
                <w:sz w:val="20"/>
                <w:szCs w:val="20"/>
              </w:rPr>
              <w:t xml:space="preserve">Current Issues</w:t>
            </w:r>
          </w:p>
        </w:tc>
        <w:tc>
          <w:tcPr>
            <w:tcW w:type="dxa" w:w="4680"/>
            <w:tcBorders>
              <w:top w:val="single" w:color="CCCCCC" w:sz="1"/>
              <w:left w:val="single" w:color="CCCCCC" w:sz="1"/>
              <w:bottom w:val="single" w:color="CCCCCC" w:sz="1"/>
              <w:right w:val="single" w:color="CCCCCC" w:sz="1"/>
            </w:tcBorders>
            <w:shd w:fill="375623" w:val="clear"/>
            <w:tcMar>
              <w:top w:type="dxa" w:w="100"/>
              <w:left w:type="dxa" w:w="160"/>
              <w:bottom w:type="dxa" w:w="100"/>
              <w:right w:type="dxa" w:w="160"/>
            </w:tcMar>
          </w:tcPr>
          <w:p>
            <w:r>
              <w:rPr>
                <w:rFonts w:ascii="Arial" w:cs="Arial" w:eastAsia="Arial" w:hAnsi="Arial"/>
                <w:b/>
                <w:bCs/>
                <w:color w:val="FFFFFF"/>
                <w:sz w:val="20"/>
                <w:szCs w:val="20"/>
              </w:rPr>
              <w:t xml:space="preserve">Improvements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40"/>
            </w:pPr>
            <w:r>
              <w:rPr>
                <w:rFonts w:ascii="Arial" w:cs="Arial" w:eastAsia="Arial" w:hAnsi="Arial"/>
                <w:color w:val="1A1A1A"/>
                <w:sz w:val="19"/>
                <w:szCs w:val="19"/>
              </w:rPr>
              <w:t xml:space="preserve">• Starts with system description (weaker hook)</w:t>
            </w:r>
          </w:p>
          <w:p>
            <w:pPr>
              <w:spacing w:before="40" w:after="40"/>
            </w:pPr>
            <w:r>
              <w:rPr>
                <w:rFonts w:ascii="Arial" w:cs="Arial" w:eastAsia="Arial" w:hAnsi="Arial"/>
                <w:color w:val="1A1A1A"/>
                <w:sz w:val="19"/>
                <w:szCs w:val="19"/>
              </w:rPr>
              <w:t xml:space="preserve">• Repeats metrics that are already in the body</w:t>
            </w:r>
          </w:p>
          <w:p>
            <w:pPr>
              <w:spacing w:before="40" w:after="40"/>
            </w:pPr>
            <w:r>
              <w:rPr>
                <w:rFonts w:ascii="Arial" w:cs="Arial" w:eastAsia="Arial" w:hAnsi="Arial"/>
                <w:color w:val="1A1A1A"/>
                <w:sz w:val="19"/>
                <w:szCs w:val="19"/>
              </w:rPr>
              <w:t xml:space="preserve">• Does not mention the scholarly domain application prominently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40"/>
            </w:pPr>
            <w:r>
              <w:rPr>
                <w:rFonts w:ascii="Arial" w:cs="Arial" w:eastAsia="Arial" w:hAnsi="Arial"/>
                <w:color w:val="1A1A1A"/>
                <w:sz w:val="19"/>
                <w:szCs w:val="19"/>
              </w:rPr>
              <w:t xml:space="preserve">• Lead with the core result: 'We present the first four-way ablation study...'</w:t>
            </w:r>
          </w:p>
          <w:p>
            <w:pPr>
              <w:spacing w:before="40" w:after="40"/>
            </w:pPr>
            <w:r>
              <w:rPr>
                <w:rFonts w:ascii="Arial" w:cs="Arial" w:eastAsia="Arial" w:hAnsi="Arial"/>
                <w:color w:val="1A1A1A"/>
                <w:sz w:val="19"/>
                <w:szCs w:val="19"/>
              </w:rPr>
              <w:t xml:space="preserve">• Streamline to 4 key metrics only (P@1, NDCG@10, MRR, BERTScore-F1)</w:t>
            </w:r>
          </w:p>
          <w:p>
            <w:pPr>
              <w:spacing w:before="40" w:after="40"/>
            </w:pPr>
            <w:r>
              <w:rPr>
                <w:rFonts w:ascii="Arial" w:cs="Arial" w:eastAsia="Arial" w:hAnsi="Arial"/>
                <w:color w:val="1A1A1A"/>
                <w:sz w:val="19"/>
                <w:szCs w:val="19"/>
              </w:rPr>
              <w:t xml:space="preserve">• State the scholarly assistance use-case in sentence 1</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6.2  Introduction Improvements</w:t>
      </w:r>
    </w:p>
    <w:p>
      <w:pPr>
        <w:pStyle w:val="ListParagraph"/>
        <w:numPr>
          <w:ilvl w:val="0"/>
          <w:numId w:val="2"/>
        </w:numPr>
        <w:spacing w:before="60" w:after="60"/>
      </w:pPr>
      <w:r>
        <w:rPr>
          <w:rFonts w:ascii="Arial" w:cs="Arial" w:eastAsia="Arial" w:hAnsi="Arial"/>
          <w:color w:val="1A1A1A"/>
          <w:sz w:val="20"/>
          <w:szCs w:val="20"/>
        </w:rPr>
        <w:t xml:space="preserve">Add a motivation paragraph with concrete statistics: 'Researchers spend X hours/week on literature search (cite survey).'</w:t>
      </w:r>
    </w:p>
    <w:p>
      <w:pPr>
        <w:pStyle w:val="ListParagraph"/>
        <w:numPr>
          <w:ilvl w:val="0"/>
          <w:numId w:val="2"/>
        </w:numPr>
        <w:spacing w:before="60" w:after="60"/>
      </w:pPr>
      <w:r>
        <w:rPr>
          <w:rFonts w:ascii="Arial" w:cs="Arial" w:eastAsia="Arial" w:hAnsi="Arial"/>
          <w:color w:val="1A1A1A"/>
          <w:sz w:val="20"/>
          <w:szCs w:val="20"/>
        </w:rPr>
        <w:t xml:space="preserve">Add a paper organisation roadmap table or figure — not just prose list.</w:t>
      </w:r>
    </w:p>
    <w:p>
      <w:pPr>
        <w:pStyle w:val="ListParagraph"/>
        <w:numPr>
          <w:ilvl w:val="0"/>
          <w:numId w:val="2"/>
        </w:numPr>
        <w:spacing w:before="60" w:after="60"/>
      </w:pPr>
      <w:r>
        <w:rPr>
          <w:rFonts w:ascii="Arial" w:cs="Arial" w:eastAsia="Arial" w:hAnsi="Arial"/>
          <w:color w:val="1A1A1A"/>
          <w:sz w:val="20"/>
          <w:szCs w:val="20"/>
        </w:rPr>
        <w:t xml:space="preserve">Explicitly state the target deployment scenario (open-access, CPU-only, institutional use) earlier.</w:t>
      </w:r>
    </w:p>
    <w:p>
      <w:pPr>
        <w:pStyle w:val="ListParagraph"/>
        <w:numPr>
          <w:ilvl w:val="0"/>
          <w:numId w:val="2"/>
        </w:numPr>
        <w:spacing w:before="60" w:after="60"/>
      </w:pPr>
      <w:r>
        <w:rPr>
          <w:rFonts w:ascii="Arial" w:cs="Arial" w:eastAsia="Arial" w:hAnsi="Arial"/>
          <w:color w:val="1A1A1A"/>
          <w:sz w:val="20"/>
          <w:szCs w:val="20"/>
        </w:rPr>
        <w:t xml:space="preserve">Add a clear 'What is new vs. prior work' summary table contrasting Sanshodhak with GraphRAG and RAG-Fusion.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6.3  Related Work — Missing Citations to Add</w:t>
      </w:r>
    </w:p>
    <w:p>
      <w:pPr>
        <w:spacing w:before="80" w:after="80" w:line="320" w:lineRule="auto"/>
        <w:jc w:val="both"/>
      </w:pPr>
      <w:r>
        <w:rPr>
          <w:rFonts w:ascii="Arial" w:cs="Arial" w:eastAsia="Arial" w:hAnsi="Arial"/>
          <w:color w:val="1A1A1A"/>
          <w:sz w:val="20"/>
          <w:szCs w:val="20"/>
        </w:rPr>
        <w:t xml:space="preserve">The Related Work section is reasonable but misses several key papers that reviewers will expect:</w:t>
      </w:r>
    </w:p>
    <w:p>
      <w:pPr>
        <w:spacing w:before="60" w:after="60"/>
      </w:pPr>
      <w:r>
        <w:t xml:space="preserve"/>
      </w:r>
    </w:p>
    <w:p>
      <w:pPr>
        <w:pStyle w:val="ListParagraph"/>
        <w:numPr>
          <w:ilvl w:val="0"/>
          <w:numId w:val="2"/>
        </w:numPr>
        <w:spacing w:before="60" w:after="60"/>
      </w:pPr>
      <w:r>
        <w:rPr>
          <w:rFonts w:ascii="Arial" w:cs="Arial" w:eastAsia="Arial" w:hAnsi="Arial"/>
          <w:color w:val="1A1A1A"/>
          <w:sz w:val="20"/>
          <w:szCs w:val="20"/>
        </w:rPr>
        <w:t xml:space="preserve">REALM (Guu et al., 2020) — first learned retrieval-augmented pre-training.</w:t>
      </w:r>
    </w:p>
    <w:p>
      <w:pPr>
        <w:pStyle w:val="ListParagraph"/>
        <w:numPr>
          <w:ilvl w:val="0"/>
          <w:numId w:val="2"/>
        </w:numPr>
        <w:spacing w:before="60" w:after="60"/>
      </w:pPr>
      <w:r>
        <w:rPr>
          <w:rFonts w:ascii="Arial" w:cs="Arial" w:eastAsia="Arial" w:hAnsi="Arial"/>
          <w:color w:val="1A1A1A"/>
          <w:sz w:val="20"/>
          <w:szCs w:val="20"/>
        </w:rPr>
        <w:t xml:space="preserve">FiD (Izacard &amp; Grave, 2021) — Fusion-in-Decoder, key RAG generation baseline.</w:t>
      </w:r>
    </w:p>
    <w:p>
      <w:pPr>
        <w:pStyle w:val="ListParagraph"/>
        <w:numPr>
          <w:ilvl w:val="0"/>
          <w:numId w:val="2"/>
        </w:numPr>
        <w:spacing w:before="60" w:after="60"/>
      </w:pPr>
      <w:r>
        <w:rPr>
          <w:rFonts w:ascii="Arial" w:cs="Arial" w:eastAsia="Arial" w:hAnsi="Arial"/>
          <w:color w:val="1A1A1A"/>
          <w:sz w:val="20"/>
          <w:szCs w:val="20"/>
        </w:rPr>
        <w:t xml:space="preserve">Contriever (Izacard et al., 2022) — unsupervised dense retrieval, important for open-domain.</w:t>
      </w:r>
    </w:p>
    <w:p>
      <w:pPr>
        <w:pStyle w:val="ListParagraph"/>
        <w:numPr>
          <w:ilvl w:val="0"/>
          <w:numId w:val="2"/>
        </w:numPr>
        <w:spacing w:before="60" w:after="60"/>
      </w:pPr>
      <w:r>
        <w:rPr>
          <w:rFonts w:ascii="Arial" w:cs="Arial" w:eastAsia="Arial" w:hAnsi="Arial"/>
          <w:color w:val="1A1A1A"/>
          <w:sz w:val="20"/>
          <w:szCs w:val="20"/>
        </w:rPr>
        <w:t xml:space="preserve">SPLADE (Formal et al., 2021) — learned sparse retrieval, stronger alternative to BM25.</w:t>
      </w:r>
    </w:p>
    <w:p>
      <w:pPr>
        <w:pStyle w:val="ListParagraph"/>
        <w:numPr>
          <w:ilvl w:val="0"/>
          <w:numId w:val="2"/>
        </w:numPr>
        <w:spacing w:before="60" w:after="60"/>
      </w:pPr>
      <w:r>
        <w:rPr>
          <w:rFonts w:ascii="Arial" w:cs="Arial" w:eastAsia="Arial" w:hAnsi="Arial"/>
          <w:color w:val="1A1A1A"/>
          <w:sz w:val="20"/>
          <w:szCs w:val="20"/>
        </w:rPr>
        <w:t xml:space="preserve">MTEB (Muennighoff et al., 2023) — multilingual embedding benchmark, validates BGE-M3 choice.</w:t>
      </w:r>
    </w:p>
    <w:p>
      <w:pPr>
        <w:pStyle w:val="ListParagraph"/>
        <w:numPr>
          <w:ilvl w:val="0"/>
          <w:numId w:val="2"/>
        </w:numPr>
        <w:spacing w:before="60" w:after="60"/>
      </w:pPr>
      <w:r>
        <w:rPr>
          <w:rFonts w:ascii="Arial" w:cs="Arial" w:eastAsia="Arial" w:hAnsi="Arial"/>
          <w:color w:val="1A1A1A"/>
          <w:sz w:val="20"/>
          <w:szCs w:val="20"/>
        </w:rPr>
        <w:t xml:space="preserve">BRIGHT (Su et al., 2024) — reasoning-intensive retrieval benchmark, relevant to scholarly use.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6.4  Conclusion Improvements</w:t>
      </w:r>
    </w:p>
    <w:p>
      <w:pPr>
        <w:spacing w:before="80" w:after="80" w:line="320" w:lineRule="auto"/>
        <w:jc w:val="both"/>
      </w:pPr>
      <w:r>
        <w:rPr>
          <w:rFonts w:ascii="Arial" w:cs="Arial" w:eastAsia="Arial" w:hAnsi="Arial"/>
          <w:color w:val="1A1A1A"/>
          <w:sz w:val="20"/>
          <w:szCs w:val="20"/>
        </w:rPr>
        <w:t xml:space="preserve">The conclusion largely repeats the abstract. Strengthen it by:</w:t>
      </w:r>
    </w:p>
    <w:p>
      <w:pPr>
        <w:spacing w:before="60" w:after="60"/>
      </w:pPr>
      <w:r>
        <w:t xml:space="preserve"/>
      </w:r>
    </w:p>
    <w:p>
      <w:pPr>
        <w:pStyle w:val="ListParagraph"/>
        <w:numPr>
          <w:ilvl w:val="0"/>
          <w:numId w:val="2"/>
        </w:numPr>
        <w:spacing w:before="60" w:after="60"/>
      </w:pPr>
      <w:r>
        <w:rPr>
          <w:rFonts w:ascii="Arial" w:cs="Arial" w:eastAsia="Arial" w:hAnsi="Arial"/>
          <w:color w:val="1A1A1A"/>
          <w:sz w:val="20"/>
          <w:szCs w:val="20"/>
        </w:rPr>
        <w:t xml:space="preserve">Opening with the broader impact: what does this mean for scholarly research infrastructure?</w:t>
      </w:r>
    </w:p>
    <w:p>
      <w:pPr>
        <w:pStyle w:val="ListParagraph"/>
        <w:numPr>
          <w:ilvl w:val="0"/>
          <w:numId w:val="2"/>
        </w:numPr>
        <w:spacing w:before="60" w:after="60"/>
      </w:pPr>
      <w:r>
        <w:rPr>
          <w:rFonts w:ascii="Arial" w:cs="Arial" w:eastAsia="Arial" w:hAnsi="Arial"/>
          <w:color w:val="1A1A1A"/>
          <w:sz w:val="20"/>
          <w:szCs w:val="20"/>
        </w:rPr>
        <w:t xml:space="preserve">Adding a concrete 'Lessons Learned' paragraph: three transferable insights from building AHR.</w:t>
      </w:r>
    </w:p>
    <w:p>
      <w:pPr>
        <w:pStyle w:val="ListParagraph"/>
        <w:numPr>
          <w:ilvl w:val="0"/>
          <w:numId w:val="2"/>
        </w:numPr>
        <w:spacing w:before="60" w:after="60"/>
      </w:pPr>
      <w:r>
        <w:rPr>
          <w:rFonts w:ascii="Arial" w:cs="Arial" w:eastAsia="Arial" w:hAnsi="Arial"/>
          <w:color w:val="1A1A1A"/>
          <w:sz w:val="20"/>
          <w:szCs w:val="20"/>
        </w:rPr>
        <w:t xml:space="preserve">Expanding the Future Work section with specific, concrete next steps (not just 'scale to 1000 papers').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6.5  Tables &amp; Figures</w:t>
      </w:r>
    </w:p>
    <w:p>
      <w:pPr>
        <w:pStyle w:val="ListParagraph"/>
        <w:numPr>
          <w:ilvl w:val="0"/>
          <w:numId w:val="2"/>
        </w:numPr>
        <w:spacing w:before="60" w:after="60"/>
      </w:pPr>
      <w:r>
        <w:rPr>
          <w:rFonts w:ascii="Arial" w:cs="Arial" w:eastAsia="Arial" w:hAnsi="Arial"/>
          <w:color w:val="1A1A1A"/>
          <w:sz w:val="20"/>
          <w:szCs w:val="20"/>
        </w:rPr>
        <w:t xml:space="preserve">Table I: Add column for statistical significance markers (e.g., † p &lt; 0.05 vs VR-D).</w:t>
      </w:r>
    </w:p>
    <w:p>
      <w:pPr>
        <w:pStyle w:val="ListParagraph"/>
        <w:numPr>
          <w:ilvl w:val="0"/>
          <w:numId w:val="2"/>
        </w:numPr>
        <w:spacing w:before="60" w:after="60"/>
      </w:pPr>
      <w:r>
        <w:rPr>
          <w:rFonts w:ascii="Arial" w:cs="Arial" w:eastAsia="Arial" w:hAnsi="Arial"/>
          <w:color w:val="1A1A1A"/>
          <w:sz w:val="20"/>
          <w:szCs w:val="20"/>
        </w:rPr>
        <w:t xml:space="preserve">Table II: Extend to n=100+ queries; current n=20 is statistically weak.</w:t>
      </w:r>
    </w:p>
    <w:p>
      <w:pPr>
        <w:pStyle w:val="ListParagraph"/>
        <w:numPr>
          <w:ilvl w:val="0"/>
          <w:numId w:val="2"/>
        </w:numPr>
        <w:spacing w:before="60" w:after="60"/>
      </w:pPr>
      <w:r>
        <w:rPr>
          <w:rFonts w:ascii="Arial" w:cs="Arial" w:eastAsia="Arial" w:hAnsi="Arial"/>
          <w:color w:val="1A1A1A"/>
          <w:sz w:val="20"/>
          <w:szCs w:val="20"/>
        </w:rPr>
        <w:t xml:space="preserve">Add Figure 2: Per-query NDCG@10 comparison (line or bar chart) across all 4 systems.</w:t>
      </w:r>
    </w:p>
    <w:p>
      <w:pPr>
        <w:pStyle w:val="ListParagraph"/>
        <w:numPr>
          <w:ilvl w:val="0"/>
          <w:numId w:val="2"/>
        </w:numPr>
        <w:spacing w:before="60" w:after="60"/>
      </w:pPr>
      <w:r>
        <w:rPr>
          <w:rFonts w:ascii="Arial" w:cs="Arial" w:eastAsia="Arial" w:hAnsi="Arial"/>
          <w:color w:val="1A1A1A"/>
          <w:sz w:val="20"/>
          <w:szCs w:val="20"/>
        </w:rPr>
        <w:t xml:space="preserve">Add Figure 3: Knowledge graph visualisation (NetworkX + matplotlib) showing vocabulary vs citation edges.</w:t>
      </w:r>
    </w:p>
    <w:p>
      <w:pPr>
        <w:pStyle w:val="ListParagraph"/>
        <w:numPr>
          <w:ilvl w:val="0"/>
          <w:numId w:val="2"/>
        </w:numPr>
        <w:spacing w:before="60" w:after="60"/>
      </w:pPr>
      <w:r>
        <w:rPr>
          <w:rFonts w:ascii="Arial" w:cs="Arial" w:eastAsia="Arial" w:hAnsi="Arial"/>
          <w:color w:val="1A1A1A"/>
          <w:sz w:val="20"/>
          <w:szCs w:val="20"/>
        </w:rPr>
        <w:t xml:space="preserve">Add Figure 4: Latency vs corpus size scaling curve (project from 36 to 500 and 5000 papers).</w:t>
      </w:r>
    </w:p>
    <w:p>
      <w:r>
        <w:br w:type="page"/>
      </w:r>
    </w:p>
    <w:p>
      <w:pPr>
        <w:pStyle w:val="Heading1"/>
        <w:spacing w:before="400" w:after="160"/>
      </w:pPr>
      <w:r>
        <w:rPr>
          <w:rFonts w:ascii="Arial" w:cs="Arial" w:eastAsia="Arial" w:hAnsi="Arial"/>
          <w:b/>
          <w:bCs/>
          <w:color w:val="1F4E79"/>
          <w:sz w:val="32"/>
          <w:szCs w:val="32"/>
        </w:rPr>
        <w:t xml:space="preserve">7. Implementation Timeline (12–16 Weeks)</w:t>
      </w:r>
    </w:p>
    <w:p>
      <w:pPr>
        <w:spacing w:before="80" w:after="80" w:line="320" w:lineRule="auto"/>
        <w:jc w:val="both"/>
      </w:pPr>
      <w:r>
        <w:rPr>
          <w:rFonts w:ascii="Arial" w:cs="Arial" w:eastAsia="Arial" w:hAnsi="Arial"/>
          <w:color w:val="1A1A1A"/>
          <w:sz w:val="20"/>
          <w:szCs w:val="20"/>
        </w:rPr>
        <w:t xml:space="preserve">This timeline assumes one lead researcher with part-time support. Adjust to your team size.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5560"/>
        <w:gridCol w:w="1200"/>
      </w:tblGrid>
      <w:t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5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Weeks 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30" w:after="30"/>
            </w:pPr>
            <w:r>
              <w:rPr>
                <w:rFonts w:ascii="Arial" w:cs="Arial" w:eastAsia="Arial" w:hAnsi="Arial"/>
                <w:color w:val="1A1A1A"/>
                <w:sz w:val="18"/>
                <w:szCs w:val="18"/>
              </w:rPr>
              <w:t xml:space="preserve">• Resolve all [?] citations; compile complete BibTeX</w:t>
            </w:r>
          </w:p>
          <w:p>
            <w:pPr>
              <w:spacing w:before="30" w:after="30"/>
            </w:pPr>
            <w:r>
              <w:rPr>
                <w:rFonts w:ascii="Arial" w:cs="Arial" w:eastAsia="Arial" w:hAnsi="Arial"/>
                <w:color w:val="1A1A1A"/>
                <w:sz w:val="18"/>
                <w:szCs w:val="18"/>
              </w:rPr>
              <w:t xml:space="preserve">• Fix section numbering (VIII → X)</w:t>
            </w:r>
          </w:p>
          <w:p>
            <w:pPr>
              <w:spacing w:before="30" w:after="30"/>
            </w:pPr>
            <w:r>
              <w:rPr>
                <w:rFonts w:ascii="Arial" w:cs="Arial" w:eastAsia="Arial" w:hAnsi="Arial"/>
                <w:color w:val="1A1A1A"/>
                <w:sz w:val="18"/>
                <w:szCs w:val="18"/>
              </w:rPr>
              <w:t xml:space="preserve">• Fix VR-H BERTScore tokenizer issue</w:t>
            </w:r>
          </w:p>
        </w:tc>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2E75B6"/>
                <w:sz w:val="18"/>
                <w:szCs w:val="18"/>
              </w:rPr>
              <w:t xml:space="preserve">Foundation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Weeks 3–5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30" w:after="30"/>
            </w:pPr>
            <w:r>
              <w:rPr>
                <w:rFonts w:ascii="Arial" w:cs="Arial" w:eastAsia="Arial" w:hAnsi="Arial"/>
                <w:color w:val="1A1A1A"/>
                <w:sz w:val="18"/>
                <w:szCs w:val="18"/>
              </w:rPr>
              <w:t xml:space="preserve">• Expand corpus to ≥500 papers (use 9-source ingestion)</w:t>
            </w:r>
          </w:p>
          <w:p>
            <w:pPr>
              <w:spacing w:before="30" w:after="30"/>
            </w:pPr>
            <w:r>
              <w:rPr>
                <w:rFonts w:ascii="Arial" w:cs="Arial" w:eastAsia="Arial" w:hAnsi="Arial"/>
                <w:color w:val="1A1A1A"/>
                <w:sz w:val="18"/>
                <w:szCs w:val="18"/>
              </w:rPr>
              <w:t xml:space="preserve">• Rebuild FAISS and BM25 indices on expanded corpus</w:t>
            </w:r>
          </w:p>
          <w:p>
            <w:pPr>
              <w:spacing w:before="30" w:after="30"/>
            </w:pPr>
            <w:r>
              <w:rPr>
                <w:rFonts w:ascii="Arial" w:cs="Arial" w:eastAsia="Arial" w:hAnsi="Arial"/>
                <w:color w:val="1A1A1A"/>
                <w:sz w:val="18"/>
                <w:szCs w:val="18"/>
              </w:rPr>
              <w:t xml:space="preserve">• Recruit second annotator; generate IAA labels</w:t>
            </w:r>
          </w:p>
        </w:tc>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2E75B6"/>
                <w:sz w:val="18"/>
                <w:szCs w:val="18"/>
              </w:rPr>
              <w:t xml:space="preserve">Foundation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Weeks 6–8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30" w:after="30"/>
            </w:pPr>
            <w:r>
              <w:rPr>
                <w:rFonts w:ascii="Arial" w:cs="Arial" w:eastAsia="Arial" w:hAnsi="Arial"/>
                <w:color w:val="1A1A1A"/>
                <w:sz w:val="18"/>
                <w:szCs w:val="18"/>
              </w:rPr>
              <w:t xml:space="preserve">• Expand question set to ≥100 questions (stratified)</w:t>
            </w:r>
          </w:p>
          <w:p>
            <w:pPr>
              <w:spacing w:before="30" w:after="30"/>
            </w:pPr>
            <w:r>
              <w:rPr>
                <w:rFonts w:ascii="Arial" w:cs="Arial" w:eastAsia="Arial" w:hAnsi="Arial"/>
                <w:color w:val="1A1A1A"/>
                <w:sz w:val="18"/>
                <w:szCs w:val="18"/>
              </w:rPr>
              <w:t xml:space="preserve">• Fix citation edge construction (DOI matching)</w:t>
            </w:r>
          </w:p>
          <w:p>
            <w:pPr>
              <w:spacing w:before="30" w:after="30"/>
            </w:pPr>
            <w:r>
              <w:rPr>
                <w:rFonts w:ascii="Arial" w:cs="Arial" w:eastAsia="Arial" w:hAnsi="Arial"/>
                <w:color w:val="1A1A1A"/>
                <w:sz w:val="18"/>
                <w:szCs w:val="18"/>
              </w:rPr>
              <w:t xml:space="preserve">• Add cross-encoder reranking (5th ablation)</w:t>
            </w:r>
          </w:p>
          <w:p>
            <w:pPr>
              <w:spacing w:before="30" w:after="30"/>
            </w:pPr>
            <w:r>
              <w:rPr>
                <w:rFonts w:ascii="Arial" w:cs="Arial" w:eastAsia="Arial" w:hAnsi="Arial"/>
                <w:color w:val="1A1A1A"/>
                <w:sz w:val="18"/>
                <w:szCs w:val="18"/>
              </w:rPr>
              <w:t xml:space="preserve">• Run full 5-way ablation; compute Cohen's κ</w:t>
            </w:r>
          </w:p>
        </w:tc>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Core Work</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Weeks 9–10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30" w:after="30"/>
            </w:pPr>
            <w:r>
              <w:rPr>
                <w:rFonts w:ascii="Arial" w:cs="Arial" w:eastAsia="Arial" w:hAnsi="Arial"/>
                <w:color w:val="1A1A1A"/>
                <w:sz w:val="18"/>
                <w:szCs w:val="18"/>
              </w:rPr>
              <w:t xml:space="preserve">• BEIR evaluation on SciFact, NFCorpus, TREC-COVID</w:t>
            </w:r>
          </w:p>
          <w:p>
            <w:pPr>
              <w:spacing w:before="30" w:after="30"/>
            </w:pPr>
            <w:r>
              <w:rPr>
                <w:rFonts w:ascii="Arial" w:cs="Arial" w:eastAsia="Arial" w:hAnsi="Arial"/>
                <w:color w:val="1A1A1A"/>
                <w:sz w:val="18"/>
                <w:szCs w:val="18"/>
              </w:rPr>
              <w:t xml:space="preserve">• Multi-domain experiments (BioMed + Legal)</w:t>
            </w:r>
          </w:p>
          <w:p>
            <w:pPr>
              <w:spacing w:before="30" w:after="30"/>
            </w:pPr>
            <w:r>
              <w:rPr>
                <w:rFonts w:ascii="Arial" w:cs="Arial" w:eastAsia="Arial" w:hAnsi="Arial"/>
                <w:color w:val="1A1A1A"/>
                <w:sz w:val="18"/>
                <w:szCs w:val="18"/>
              </w:rPr>
              <w:t xml:space="preserve">• Statistical significance tests (Wilcoxon, effect sizes)</w:t>
            </w:r>
          </w:p>
        </w:tc>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375623"/>
                <w:sz w:val="18"/>
                <w:szCs w:val="18"/>
              </w:rPr>
              <w:t xml:space="preserve">Core Work</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Weeks 11–12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30" w:after="30"/>
            </w:pPr>
            <w:r>
              <w:rPr>
                <w:rFonts w:ascii="Arial" w:cs="Arial" w:eastAsia="Arial" w:hAnsi="Arial"/>
                <w:color w:val="1A1A1A"/>
                <w:sz w:val="18"/>
                <w:szCs w:val="18"/>
              </w:rPr>
              <w:t xml:space="preserve">• Replace ASCII diagram with vector figure</w:t>
            </w:r>
          </w:p>
          <w:p>
            <w:pPr>
              <w:spacing w:before="30" w:after="30"/>
            </w:pPr>
            <w:r>
              <w:rPr>
                <w:rFonts w:ascii="Arial" w:cs="Arial" w:eastAsia="Arial" w:hAnsi="Arial"/>
                <w:color w:val="1A1A1A"/>
                <w:sz w:val="18"/>
                <w:szCs w:val="18"/>
              </w:rPr>
              <w:t xml:space="preserve">• Add Figures 2–4 (per-query, graph viz, scaling)</w:t>
            </w:r>
          </w:p>
          <w:p>
            <w:pPr>
              <w:spacing w:before="30" w:after="30"/>
            </w:pPr>
            <w:r>
              <w:rPr>
                <w:rFonts w:ascii="Arial" w:cs="Arial" w:eastAsia="Arial" w:hAnsi="Arial"/>
                <w:color w:val="1A1A1A"/>
                <w:sz w:val="18"/>
                <w:szCs w:val="18"/>
              </w:rPr>
              <w:t xml:space="preserve">• Write hallucination / grounding rate section</w:t>
            </w:r>
          </w:p>
          <w:p>
            <w:pPr>
              <w:spacing w:before="30" w:after="30"/>
            </w:pPr>
            <w:r>
              <w:rPr>
                <w:rFonts w:ascii="Arial" w:cs="Arial" w:eastAsia="Arial" w:hAnsi="Arial"/>
                <w:color w:val="1A1A1A"/>
                <w:sz w:val="18"/>
                <w:szCs w:val="18"/>
              </w:rPr>
              <w:t xml:space="preserve">• Add published baseline comparisons</w:t>
            </w:r>
          </w:p>
        </w:tc>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C9A84C"/>
                <w:sz w:val="18"/>
                <w:szCs w:val="18"/>
              </w:rPr>
              <w:t xml:space="preserve">Validation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Weeks 13–16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30" w:after="30"/>
            </w:pPr>
            <w:r>
              <w:rPr>
                <w:rFonts w:ascii="Arial" w:cs="Arial" w:eastAsia="Arial" w:hAnsi="Arial"/>
                <w:color w:val="1A1A1A"/>
                <w:sz w:val="18"/>
                <w:szCs w:val="18"/>
              </w:rPr>
              <w:t xml:space="preserve">• Full manuscript rewrite with all new results</w:t>
            </w:r>
          </w:p>
          <w:p>
            <w:pPr>
              <w:spacing w:before="30" w:after="30"/>
            </w:pPr>
            <w:r>
              <w:rPr>
                <w:rFonts w:ascii="Arial" w:cs="Arial" w:eastAsia="Arial" w:hAnsi="Arial"/>
                <w:color w:val="1A1A1A"/>
                <w:sz w:val="18"/>
                <w:szCs w:val="18"/>
              </w:rPr>
              <w:t xml:space="preserve">• Internal review + proofreading</w:t>
            </w:r>
          </w:p>
          <w:p>
            <w:pPr>
              <w:spacing w:before="30" w:after="30"/>
            </w:pPr>
            <w:r>
              <w:rPr>
                <w:rFonts w:ascii="Arial" w:cs="Arial" w:eastAsia="Arial" w:hAnsi="Arial"/>
                <w:color w:val="1A1A1A"/>
                <w:sz w:val="18"/>
                <w:szCs w:val="18"/>
              </w:rPr>
              <w:t xml:space="preserve">• Format to IEEE TKDE / ACM SIGIR template</w:t>
            </w:r>
          </w:p>
          <w:p>
            <w:pPr>
              <w:spacing w:before="30" w:after="30"/>
            </w:pPr>
            <w:r>
              <w:rPr>
                <w:rFonts w:ascii="Arial" w:cs="Arial" w:eastAsia="Arial" w:hAnsi="Arial"/>
                <w:color w:val="1A1A1A"/>
                <w:sz w:val="18"/>
                <w:szCs w:val="18"/>
              </w:rPr>
              <w:t xml:space="preserve">• Submit</w:t>
            </w:r>
          </w:p>
        </w:tc>
        <w:tc>
          <w:tcPr>
            <w:tcW w:type="dxa" w:w="1200"/>
            <w:tcBorders>
              <w:top w:val="single" w:color="CCCCCC" w:sz="1"/>
              <w:left w:val="single" w:color="CCCCCC" w:sz="1"/>
              <w:bottom w:val="single" w:color="CCCCCC" w:sz="1"/>
              <w:right w:val="single" w:color="CCCCCC" w:sz="1"/>
            </w:tcBorders>
            <w:shd w:fill="EBF5E0" w:val="clear"/>
            <w:tcMar>
              <w:top w:type="dxa" w:w="80"/>
              <w:left w:type="dxa" w:w="120"/>
              <w:bottom w:type="dxa" w:w="80"/>
              <w:right w:type="dxa" w:w="120"/>
            </w:tcMar>
          </w:tcPr>
          <w:p>
            <w:r>
              <w:rPr>
                <w:rFonts w:ascii="Arial" w:cs="Arial" w:eastAsia="Arial" w:hAnsi="Arial"/>
                <w:b/>
                <w:bCs/>
                <w:color w:val="888888"/>
                <w:sz w:val="18"/>
                <w:szCs w:val="18"/>
              </w:rPr>
              <w:t xml:space="preserve">Submission</w:t>
            </w:r>
          </w:p>
        </w:tc>
      </w:tr>
    </w:tbl>
    <w:p>
      <w:r>
        <w:br w:type="page"/>
      </w:r>
    </w:p>
    <w:p>
      <w:pPr>
        <w:pStyle w:val="Heading1"/>
        <w:spacing w:before="400" w:after="160"/>
      </w:pPr>
      <w:r>
        <w:rPr>
          <w:rFonts w:ascii="Arial" w:cs="Arial" w:eastAsia="Arial" w:hAnsi="Arial"/>
          <w:b/>
          <w:bCs/>
          <w:color w:val="1F4E79"/>
          <w:sz w:val="32"/>
          <w:szCs w:val="32"/>
        </w:rPr>
        <w:t xml:space="preserve">8. Recommended Target Venues</w:t>
      </w:r>
    </w:p>
    <w:p>
      <w:pPr>
        <w:spacing w:before="80" w:after="80" w:line="320" w:lineRule="auto"/>
        <w:jc w:val="both"/>
      </w:pPr>
      <w:r>
        <w:rPr>
          <w:rFonts w:ascii="Arial" w:cs="Arial" w:eastAsia="Arial" w:hAnsi="Arial"/>
          <w:color w:val="1A1A1A"/>
          <w:sz w:val="20"/>
          <w:szCs w:val="20"/>
        </w:rPr>
        <w:t xml:space="preserve">The table below lists recommended submission venues ranked by fit and prestige. The level of improvement implemented determines which tier is realistic.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Venue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Tier / IF</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Deadline Frequency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IEEE TKDE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Q1 / IF ~8.9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Rolling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Best fit. Covers knowledge engineering + IR. Requires full corpus + BEIR.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ACM SIGIR (Full)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 Conference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Annual (Feb)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Highest prestige. Needs 5-way ablation + significance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ECIR (Full Paper)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 Conference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Annual (Oct)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Good fit for IR systems. More accessible than SIGIR.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Information Processing &amp; Mgmt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Q1 / IF ~8.6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Rolling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Covers scholarly information systems. Good for applied systems.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JASIST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Q1 / IF ~4.5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Rolling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Information science focus. Suitable if domain emphasis is scholarly 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ACL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 Conference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Triannual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NLP venue. Suitable if generation quality results are strengthened.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E0" w:val="clear"/>
            <w:tcMar>
              <w:top w:type="dxa" w:w="200"/>
              <w:left w:type="dxa" w:w="240"/>
              <w:bottom w:type="dxa" w:w="200"/>
              <w:right w:type="dxa" w:w="240"/>
            </w:tcMar>
          </w:tcPr>
          <w:p>
            <w:pPr>
              <w:spacing w:before="0" w:after="100"/>
            </w:pPr>
            <w:r>
              <w:rPr>
                <w:rFonts w:ascii="Arial" w:cs="Arial" w:eastAsia="Arial" w:hAnsi="Arial"/>
                <w:b/>
                <w:bCs/>
                <w:color w:val="FFFFFF"/>
                <w:sz w:val="22"/>
                <w:szCs w:val="22"/>
              </w:rPr>
              <w:t xml:space="preserve">Recommended Strategy</w:t>
            </w:r>
          </w:p>
          <w:p>
            <w:pPr>
              <w:spacing w:before="60" w:after="40"/>
            </w:pPr>
            <w:r>
              <w:rPr>
                <w:rFonts w:ascii="Arial" w:cs="Arial" w:eastAsia="Arial" w:hAnsi="Arial"/>
                <w:color w:val="1A3A1A"/>
                <w:sz w:val="20"/>
                <w:szCs w:val="20"/>
              </w:rPr>
              <w:t xml:space="preserve">Start with ECIR (Full Paper) as a 'safe' first submission to get reviewer feedback. Use that feedback to strengthen the paper for an IEEE TKDE or ACM SIGIR submission. Both paths are realistic given the novelty of the four-way ablation contribution.</w:t>
            </w:r>
          </w:p>
        </w:tc>
      </w:tr>
    </w:tbl>
    <w:p>
      <w:r>
        <w:br w:type="page"/>
      </w:r>
    </w:p>
    <w:p>
      <w:pPr>
        <w:pStyle w:val="Heading1"/>
        <w:spacing w:before="400" w:after="160"/>
      </w:pPr>
      <w:r>
        <w:rPr>
          <w:rFonts w:ascii="Arial" w:cs="Arial" w:eastAsia="Arial" w:hAnsi="Arial"/>
          <w:b/>
          <w:bCs/>
          <w:color w:val="1F4E79"/>
          <w:sz w:val="32"/>
          <w:szCs w:val="32"/>
        </w:rPr>
        <w:t xml:space="preserve">9. Refined Contribution Statement</w:t>
      </w:r>
    </w:p>
    <w:p>
      <w:pPr>
        <w:spacing w:before="80" w:after="80" w:line="320" w:lineRule="auto"/>
        <w:jc w:val="both"/>
      </w:pPr>
      <w:r>
        <w:rPr>
          <w:rFonts w:ascii="Arial" w:cs="Arial" w:eastAsia="Arial" w:hAnsi="Arial"/>
          <w:color w:val="1A1A1A"/>
          <w:sz w:val="20"/>
          <w:szCs w:val="20"/>
        </w:rPr>
        <w:t xml:space="preserve">After implementing the improvements in this plan, the paper's revised contributions should be stated as follows. Use this as a template for the final manuscript Introduction.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100"/>
            </w:pPr>
            <w:r>
              <w:rPr>
                <w:rFonts w:ascii="Arial" w:cs="Arial" w:eastAsia="Arial" w:hAnsi="Arial"/>
                <w:b/>
                <w:bCs/>
                <w:color w:val="FFFFFF"/>
                <w:sz w:val="22"/>
                <w:szCs w:val="22"/>
              </w:rPr>
              <w:t xml:space="preserve">Revised Contribution Statement (Copy into Manuscript)</w:t>
            </w:r>
          </w:p>
          <w:p>
            <w:pPr>
              <w:spacing w:before="60" w:after="40"/>
            </w:pPr>
            <w:r>
              <w:rPr>
                <w:rFonts w:ascii="Arial" w:cs="Arial" w:eastAsia="Arial" w:hAnsi="Arial"/>
                <w:color w:val="FFFFFF"/>
                <w:sz w:val="20"/>
                <w:szCs w:val="20"/>
              </w:rPr>
              <w:t xml:space="preserve">1.  Adaptive Hybrid Retrieval (AHR): A three-channel pipeline fusing BM25, BGE-M3 dense FAISS retrieval, and vocabulary-Jaccard knowledge-graph expansion via Reciprocal Rank Fusion, with a slot-reservation mechanism guaranteeing graph-expanded context in the final top-k — evaluated across a 5-way ablation study on corpora spanning 3 domains and ≥500 papers.</w:t>
            </w:r>
          </w:p>
          <w:p>
            <w:pPr>
              <w:spacing w:before="40" w:after="40"/>
            </w:pPr>
            <w:r>
              <w:rPr>
                <w:rFonts w:ascii="Arial" w:cs="Arial" w:eastAsia="Arial" w:hAnsi="Arial"/>
                <w:color w:val="FFFFFF"/>
                <w:sz w:val="20"/>
                <w:szCs w:val="20"/>
              </w:rPr>
              <w:t xml:space="preserve">2.  Lightweight Dual-Edge Knowledge Graph: A fully in-memory knowledge graph built from TF-IDF vocabulary Jaccard similarity and bibliographic citation co-occurrence via DOI matching — requiring no external NER, no graph database, and no labelled training data.</w:t>
            </w:r>
          </w:p>
          <w:p>
            <w:pPr>
              <w:spacing w:before="40" w:after="40"/>
            </w:pPr>
            <w:r>
              <w:rPr>
                <w:rFonts w:ascii="Arial" w:cs="Arial" w:eastAsia="Arial" w:hAnsi="Arial"/>
                <w:color w:val="FFFFFF"/>
                <w:sz w:val="20"/>
                <w:szCs w:val="20"/>
              </w:rPr>
              <w:t xml:space="preserve">3.  Nine-Source Scholarly Ingestion Pipeline: A parallel ingestion layer spanning OpenAlex, CORE, Semantic Scholar, ArcSieve, DOAJ, PubMed, CrossRef, Unpaywall, and arXiv with composite temporal-aware ranking — validated at scale across multi-domain corpora.</w:t>
            </w:r>
          </w:p>
          <w:p>
            <w:pPr>
              <w:spacing w:before="40" w:after="40"/>
            </w:pPr>
            <w:r>
              <w:rPr>
                <w:rFonts w:ascii="Arial" w:cs="Arial" w:eastAsia="Arial" w:hAnsi="Arial"/>
                <w:color w:val="FFFFFF"/>
                <w:sz w:val="20"/>
                <w:szCs w:val="20"/>
              </w:rPr>
              <w:t xml:space="preserve">4.  First Five-Way Retrieval Ablation on Scholarly RAG: The first published comparative evaluation of VR-D, VR-H, GR, HGR, and HGR+CE on a multi-domain scholarly corpus with P@k, NDCG@k, MRR, MAP, statistically validated significance tests, and end-to-end latency measurement.</w:t>
            </w:r>
          </w:p>
          <w:p>
            <w:pPr>
              <w:spacing w:before="40" w:after="60"/>
            </w:pPr>
            <w:r>
              <w:rPr>
                <w:rFonts w:ascii="Arial" w:cs="Arial" w:eastAsia="Arial" w:hAnsi="Arial"/>
                <w:color w:val="FFFFFF"/>
                <w:sz w:val="20"/>
                <w:szCs w:val="20"/>
              </w:rPr>
              <w:t xml:space="preserve">5.  Open Reproducibility Package: All evaluation artifacts — question sets, relevance judgments (dual-annotated, κ ≥ 0.70), system code, and result files — are released publicly to support community reproduction.</w:t>
            </w:r>
          </w:p>
        </w:tc>
      </w:tr>
    </w:tbl>
    <w:p>
      <w:pPr>
        <w:spacing w:before="200" w:after="200"/>
      </w:pPr>
      <w:r>
        <w:t xml:space="preserve"/>
      </w:r>
    </w:p>
    <w:p>
      <w:pPr>
        <w:pBdr>
          <w:bottom w:val="single" w:color="2E75B6" w:sz="4" w:space="1"/>
        </w:pBdr>
        <w:spacing w:before="160" w:after="160"/>
      </w:pPr>
      <w:r>
        <w:t xml:space="preserve"/>
      </w:r>
    </w:p>
    <w:p>
      <w:pPr>
        <w:spacing w:before="160" w:after="80"/>
        <w:jc w:val="center"/>
      </w:pPr>
      <w:r>
        <w:rPr>
          <w:rFonts w:ascii="Arial" w:cs="Arial" w:eastAsia="Arial" w:hAnsi="Arial"/>
          <w:b/>
          <w:bCs/>
          <w:color w:val="1F4E79"/>
          <w:sz w:val="22"/>
          <w:szCs w:val="22"/>
        </w:rPr>
        <w:t xml:space="preserve">End of Improvement Plan</w:t>
      </w:r>
    </w:p>
    <w:p>
      <w:pPr>
        <w:spacing w:before="0" w:after="0"/>
        <w:jc w:val="center"/>
      </w:pPr>
      <w:r>
        <w:rPr>
          <w:rFonts w:ascii="Arial" w:cs="Arial" w:eastAsia="Arial" w:hAnsi="Arial"/>
          <w:i/>
          <w:iCs/>
          <w:color w:val="666666"/>
          <w:sz w:val="20"/>
          <w:szCs w:val="20"/>
        </w:rPr>
        <w:t xml:space="preserve">Implement all Critical and High-priority items before submission. Good luck!</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Sanshodhak — Journal Publication Improvement Plan  |  Page </w:t>
    </w:r>
    <w:r>
      <w:rPr>
        <w:rFonts w:ascii="Arial" w:cs="Arial" w:eastAsia="Arial" w:hAnsi="Arial"/>
        <w:color w:val="888888"/>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2026-03-11T17:02:17.576Z</dcterms:created>
  <dcterms:modified xsi:type="dcterms:W3CDTF">2026-03-11T17:02:17.577Z</dcterms:modified>
</cp:coreProperties>
</file>

<file path=docProps/custom.xml><?xml version="1.0" encoding="utf-8"?>
<Properties xmlns="http://schemas.openxmlformats.org/officeDocument/2006/custom-properties" xmlns:vt="http://schemas.openxmlformats.org/officeDocument/2006/docPropsVTypes"/>
</file>