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ealthcare_ai_chatbot_risks_beyon_b379d7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Healthcare AI Chatbot Risks: Beyond Hallucinations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⚠️ </w:t>
      </w:r>
      <w:r>
        <w:rPr>
          <w:rFonts w:eastAsia="source serif 4" w:cs="source serif 4" w:ascii="source serif 4" w:hAnsi="source serif 4"/>
          <w:b/>
          <w:color w:val="000000"/>
        </w:rPr>
        <w:t xml:space="preserve">The riskiest AI chatbot in a hospital may not be the one IT approved.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repository explores the operational risks of AI chatbots in healthcare settings—risks that go far beyond the obvious concern of hallucinations.</w:t>
      </w:r>
    </w:p>
    <w:p>
      <w:pPr>
        <w:spacing w:line="360" w:before="315" w:after="105" w:lineRule="auto"/>
        <w:ind w:left="-30"/>
        <w:jc w:val="left"/>
      </w:pPr>
      <w:bookmarkStart w:id="1" w:name="key_insigh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Key Insight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Most discussions about AI chatbot risks in healthcare focus on </w:t>
      </w:r>
      <w:r>
        <w:rPr>
          <w:rFonts w:eastAsia="source serif 4" w:cs="source serif 4" w:ascii="source serif 4" w:hAnsi="source serif 4"/>
          <w:b/>
          <w:color w:val="000000"/>
        </w:rPr>
        <w:t xml:space="preserve">hallucinations</w:t>
      </w:r>
      <w:r>
        <w:rPr>
          <w:rFonts w:eastAsia="source serif 4" w:cs="source serif 4" w:ascii="source serif 4" w:hAnsi="source serif 4"/>
          <w:color w:val="000000"/>
        </w:rPr>
        <w:t xml:space="preserve">. While that's a real concern, it's not the only risk—and it may not be the most operationally dangerous.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real risk lies in </w:t>
      </w:r>
      <w:r>
        <w:rPr>
          <w:rFonts w:eastAsia="source serif 4" w:cs="source serif 4" w:ascii="source serif 4" w:hAnsi="source serif 4"/>
          <w:b/>
          <w:color w:val="000000"/>
        </w:rPr>
        <w:t xml:space="preserve">the gap between the tool the organisation built and the tool people actually reach for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2" w:name="four_critical_risk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🔴 Four Critical Risks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it_answers_when_it_should_absta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It Answers When It Should Abstain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junior doctor says, "I'm not sure. Let me check." A chatbot produces three likely causes in the same confident tone it uses for a reliable answer.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The problem:</w:t>
      </w:r>
      <w:r>
        <w:rPr>
          <w:rFonts w:eastAsia="source serif 4" w:cs="source serif 4" w:ascii="source serif 4" w:hAnsi="source serif 4"/>
          <w:color w:val="000000"/>
        </w:rPr>
        <w:t xml:space="preserve"> Not only can it be wrong, but the workflow may give the user no clear signal about what to do next.</w:t>
      </w:r>
    </w:p>
    <w:p>
      <w:pPr>
        <w:spacing w:line="360" w:before="315" w:after="105" w:lineRule="auto"/>
        <w:ind w:left="-30"/>
        <w:jc w:val="left"/>
      </w:pPr>
      <w:bookmarkStart w:id="4" w:name="bm_2_it_does_not_know_who_is_as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It Does Not Know Who Is Asking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patient, pharmacist, nurse, and surgeon asking the same question may need four different answers.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 healthcare, context is not a feature added after the model. Context is the product.</w:t>
      </w:r>
    </w:p>
    <w:p>
      <w:pPr>
        <w:spacing w:line="360" w:before="315" w:after="105" w:lineRule="auto"/>
        <w:ind w:left="-30"/>
        <w:jc w:val="left"/>
      </w:pPr>
      <w:bookmarkStart w:id="5" w:name="bm_3_it_is_used_outside_the_appro_39ccc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It Is Used Outside the Approved Workflow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the sanctioned tool adds friction, staff will find a workaround. Patient information may then move into a consumer tool with: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appropriate BAA (Business Associate Agreement)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usable audit trail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reliable access control</w:t>
      </w:r>
    </w:p>
    <w:p>
      <w:pPr>
        <w:spacing w:line="360" w:before="315" w:after="105" w:lineRule="auto"/>
        <w:ind w:left="-30"/>
        <w:jc w:val="left"/>
      </w:pPr>
      <w:bookmarkStart w:id="6" w:name="bm_4_nobody_can_explain_who_owns_34ced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Nobody Can Explain Who Owns the Outcome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clinician may own the clinical decision. But who owns: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model?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permissions?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workflow?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audit trail?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incident review?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If the deployment cannot answer those questions clearly, it is not ready for patient-facing use.</w:t>
      </w:r>
    </w:p>
    <w:p>
      <w:pPr>
        <w:spacing w:line="360" w:before="315" w:after="105" w:lineRule="auto"/>
        <w:ind w:left="-30"/>
        <w:jc w:val="left"/>
      </w:pPr>
      <w:bookmarkStart w:id="7" w:name="the_real_te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📋 The Real Test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Before deploying a healthcare chatbot, the question is not simply: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❓ Can it say, "I don't know"?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real test is: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❓ </w:t>
      </w:r>
      <w:r>
        <w:rPr>
          <w:rFonts w:eastAsia="source serif 4" w:cs="source serif 4" w:ascii="source serif 4" w:hAnsi="source serif 4"/>
          <w:b/>
          <w:color w:val="000000"/>
        </w:rPr>
        <w:t xml:space="preserve">Does the workflow know what to do when it says it?</w:t>
      </w:r>
    </w:p>
    <w:p>
      <w:pPr>
        <w:spacing w:line="360" w:before="315" w:after="105" w:lineRule="auto"/>
        <w:ind w:left="-30"/>
        <w:jc w:val="left"/>
      </w:pPr>
      <w:bookmarkStart w:id="8" w:name="critical_ques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Critical Questions: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Who receives the escalation?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source verifies the answer?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gets logged?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Who reviews the incident?</w:t>
      </w:r>
    </w:p>
    <w:p>
      <w:pPr>
        <w:spacing w:line="360" w:before="315" w:after="105" w:lineRule="auto"/>
        <w:ind w:left="-30"/>
        <w:jc w:val="left"/>
      </w:pPr>
      <w:bookmarkStart w:id="9" w:name="bm_️_what_s_in_this_reposito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🛠️ What's in This Repository</w:t>
      </w:r>
      <w:bookmarkEnd w:id="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Risk Assessment Framework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Understand the four critical risks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Workflow Templates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Map real workflows from prompt to escalation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Governance Checklist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Ensure your deployment is ready for clinical use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Example Implementation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See how Epic + OpenAI integration demonstrates governed patterns</w:t>
      </w:r>
    </w:p>
    <w:p>
      <w:pPr>
        <w:spacing w:line="360" w:before="315" w:after="105" w:lineRule="auto"/>
        <w:ind w:left="-30"/>
        <w:jc w:val="left"/>
      </w:pPr>
      <w:bookmarkStart w:id="10" w:name="lead_magnet_clinical_ai_workflow_59d20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📥 Lead Magnet: Clinical AI Workflow Assessment Template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Download our free </w:t>
      </w:r>
      <w:r>
        <w:rPr>
          <w:rFonts w:eastAsia="source serif 4" w:cs="source serif 4" w:ascii="source serif 4" w:hAnsi="source serif 4"/>
          <w:b/>
          <w:color w:val="000000"/>
        </w:rPr>
        <w:t xml:space="preserve">Clinical AI Workflow Assessment Template</w:t>
      </w:r>
      <w:r>
        <w:rPr>
          <w:rFonts w:eastAsia="source serif 4" w:cs="source serif 4" w:ascii="source serif 4" w:hAnsi="source serif 4"/>
          <w:color w:val="000000"/>
        </w:rPr>
        <w:t xml:space="preserve"> to evaluate your healthcare chatbot deployment: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👉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Download Template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template helps you: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Map one real workflow from prompt to escalation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Identify gaps before the model demo ends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Ensure governance, ownership, and audit trails are in place</w:t>
      </w:r>
    </w:p>
    <w:p>
      <w:pPr>
        <w:spacing w:line="360" w:before="315" w:after="105" w:lineRule="auto"/>
        <w:ind w:left="-30"/>
        <w:jc w:val="left"/>
      </w:pPr>
      <w:bookmarkStart w:id="11" w:name="getting_start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🚀 Getting Started</w:t>
      </w:r>
      <w:bookmarkEnd w:id="1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Read the Risk Framework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Understand the four critical risks above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 the Template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Download and complete the workflow assessment template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Map Your Workflow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Identify gaps in your current deployment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Implement Governance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Apply the checklist to your AI initiatives</w:t>
      </w:r>
    </w:p>
    <w:p>
      <w:pPr>
        <w:spacing w:line="360" w:before="315" w:after="105" w:lineRule="auto"/>
        <w:ind w:left="-30"/>
        <w:jc w:val="left"/>
      </w:pPr>
      <w:bookmarkStart w:id="12" w:name="additional_re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📚 Additional Resources</w:t>
      </w:r>
      <w:bookmarkEnd w:id="12"/>
    </w:p>
    <w:p>
      <w:pPr>
        <w:numPr>
          <w:ilvl w:val="0"/>
          <w:numId w:val="7"/>
        </w:numPr>
        <w:spacing w:line="360" w:before="105" w:after="105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Hospital AI Governance Framework &amp; Checklist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Healthcare AI Governance — Free Practical Guide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AI Observability Checklist for Healthcare</w:t>
        </w:r>
      </w:hyperlink>
    </w:p>
    <w:p>
      <w:pPr>
        <w:spacing w:line="360" w:before="315" w:after="105" w:lineRule="auto"/>
        <w:ind w:left="-30"/>
        <w:jc w:val="left"/>
      </w:pPr>
      <w:bookmarkStart w:id="13" w:name="contribu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🤝 Contributing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living document. If you have insights, templates, or frameworks to share: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Fork the repository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 feature branch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Submit a pull request</w:t>
      </w:r>
    </w:p>
    <w:p>
      <w:pPr>
        <w:spacing w:line="360" w:before="315" w:after="105" w:lineRule="auto"/>
        <w:ind w:left="-30"/>
        <w:jc w:val="left"/>
      </w:pPr>
      <w:bookmarkStart w:id="14" w:name="lice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📄 License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content is shared under the MIT License. Feel free to use, adapt, and share.</w:t>
      </w:r>
    </w:p>
    <w:p>
      <w:pPr>
        <w:spacing w:line="360" w:before="315" w:after="105" w:lineRule="auto"/>
        <w:ind w:left="-30"/>
        <w:jc w:val="left"/>
      </w:pPr>
      <w:bookmarkStart w:id="15" w:name="abo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🏥 About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repository was created to help healthcare organisations, IT leaders, and clinical teams deploy AI chatbots safely and effectively. The insights are based on real-world observations of how AI tools are actually used in clinical settings.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💡 Key Takeaway</w:t>
      </w:r>
      <w:r>
        <w:rPr>
          <w:rFonts w:eastAsia="source serif 4" w:cs="source serif 4" w:ascii="source serif 4" w:hAnsi="source serif 4"/>
          <w:color w:val="000000"/>
        </w:rPr>
        <w:t xml:space="preserve">: If you are evaluating a healthcare chatbot, map one real workflow from prompt to escalation. The gaps usually become visible before the model demo ends.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#AI #HealthTech #HealthcareAI #AIGovernance #ClinicalAI #DigitalHealth #TechLeadership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/templates/workflow-assessment-template.md" TargetMode="External"/><Relationship Id="rId6" Type="http://schemas.openxmlformats.org/officeDocument/2006/relationships/hyperlink" Target="https://www.softx.ca/resources/hospital-ai-governance-framework-checklist" TargetMode="External"/><Relationship Id="rId7" Type="http://schemas.openxmlformats.org/officeDocument/2006/relationships/hyperlink" Target="https://autogovern.io/healthcare-ai-governance" TargetMode="External"/><Relationship Id="rId8" Type="http://schemas.openxmlformats.org/officeDocument/2006/relationships/hyperlink" Target="https://www.fiddler.ai/guides/ai-observability-checklist-healthcar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2026-09-21T04:54:44.809Z</dcterms:created>
  <dcterms:modified xsi:type="dcterms:W3CDTF">2026-09-21T04:54:44.809Z</dcterms:modified>
</cp:coreProperties>
</file>