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<w:body><w:p><w:r><w:rPr /><w:t>Номинальное количество пар: 30</w:t></w:r></w:p><w:p><w:r><w:rPr /><w:t>Фактическое количество пар: 30</w:t></w:r></w:p><w:p><w:r><w:rPr /><w:t>годных пар: 25</w:t></w:r></w:p><w:p><w:r><w:rPr><w:i /></w:rPr><w:t>Значения измеренных параметров вышедшие за установленные нормы выделены </w:t></w:r><w:r><w:rPr><w:b /><w:i /></w:rPr><w: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1DA"/>
    <w:rsid w:val="00363DD1"/>
    <w:rsid w:val="00D571B3"/>
    <w:rsid w:val="00F1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571D54F-446E-4FB5-9410-4118E228F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</dc:creator>
  <cp:keywords/>
  <dc:description/>
  <cp:lastModifiedBy>Roman Kozvonin</cp:lastModifiedBy>
  <cp:revision>1</cp:revision>
  <dcterms:created xsi:type="dcterms:W3CDTF">2019-07-03T15:44:00Z</dcterms:created>
  <dcterms:modified xsi:type="dcterms:W3CDTF">2019-07-03T15:44:00Z</dcterms:modified>
</cp:coreProperties>
</file>