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Borders>
          <w:top w:val="single" w:sz="2"/>
          <w:bottom w:val="single" w:sz="2"/>
          <w:left w:val="single" w:sz="2"/>
          <w:right w:val="single" w:sz="2"/>
          <w:insideH w:val="single" w:sz="2"/>
          <w:insideV w:val="single" w:sz="2"/>
        </w:tblBorders>
      </w:tblP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>№/№ пары</w:t>
            </w:r>
          </w:p>
          <w:tcPr>
            <w:hMerge w:val="restart"/>
          </w:tcPr>
          <w:tcPr>
            <w:vMerge w:val="restart"/>
          </w:tcPr>
          <w:tcPr>
            <w:v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hMerge w:val="restart"/>
          </w:tcPr>
          <w:p>
            <w:r>
              <w:rPr/>
              <w:t xml:space="preserve">A</w:t>
            </w:r>
            <w:r>
              <w:rPr>
                <w:rFonts w:ascii="Times New Roman"/>
                <w:sz w:val="18"/>
                <w:vertAlign w:val="subscript"/>
              </w:rPr>
              <w:t xml:space="preserve">0</w:t>
            </w:r>
            <w:r>
              <w:rPr/>
              <w:t xml:space="preserve">, дБ/750м</w:t>
            </w:r>
          </w:p>
          <w:p>
            <w:r>
              <w:rPr/>
              <w:t xml:space="preserve">f</w:t>
            </w:r>
            <w:r>
              <w:rPr>
                <w:rFonts w:ascii="Times New Roman"/>
                <w:sz w:val="18"/>
                <w:vertAlign w:val="subscript"/>
              </w:rPr>
              <w:t xml:space="preserve">min</w:t>
            </w:r>
            <w:r>
              <w:rPr/>
              <w:t xml:space="preserve">=160кГц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restart"/>
          </w:tcPr>
          <w:tcPr>
            <w:vMerge w:val="continue"/>
          </w:tcPr>
          <w:tcPr>
            <w:v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41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42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43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44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45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46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47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48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49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50</w:t>
            </w:r>
          </w:p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43</w:t>
            </w:r>
          </w:p>
          <w:tcPr>
            <w:h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  <w:shd w:val="clear" w:color="auto" w:fill="B2B2B2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74.3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73.6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80.6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73.3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70.6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69.2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75.9</w:t>
            </w:r>
          </w:p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44</w:t>
            </w:r>
          </w:p>
          <w:tcPr>
            <w:h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  <w:shd w:val="clear" w:color="auto" w:fill="B2B2B2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76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76.9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70.3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92.3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80.2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80.4</w:t>
            </w:r>
          </w:p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45</w:t>
            </w:r>
          </w:p>
          <w:tcPr>
            <w:h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  <w:shd w:val="clear" w:color="auto" w:fill="B2B2B2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76.9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78.1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78.9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88.4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85.1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6E"/>
    <w:rsid w:val="0043176E"/>
    <w:rsid w:val="008131A4"/>
    <w:rsid w:val="00A2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C1592C-6526-4A44-9AAF-EC61CBF0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2019-07-07T17:01:00Z</dcterms:created>
  <dcterms:modified xsi:type="dcterms:W3CDTF">2019-07-07T17:01:00Z</dcterms:modified>
</cp:coreProperties>
</file>