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Pr="003165A4" w:rsidRDefault="00D15BDD" w:rsidP="00D15BDD">
      <w:pPr>
        <w:jc w:val="center"/>
        <w:rPr>
          <w:rFonts w:cs="Tahoma"/>
          <w:sz w:val="32"/>
          <w:szCs w:val="32"/>
          <w:lang w:val="en-US"/>
        </w:rPr>
      </w:pPr>
      <w:bookmarkStart w:id="0" w:name="_GoBack"/>
      <w:bookmarkEnd w:id="0"/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v1.0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991" w:rsidRDefault="00B93991" w:rsidP="008B06A4">
          <w:pPr>
            <w:pStyle w:val="a9"/>
            <w:numPr>
              <w:ilvl w:val="0"/>
              <w:numId w:val="0"/>
            </w:numPr>
            <w:ind w:left="284" w:hanging="284"/>
          </w:pPr>
          <w:r>
            <w:t>Оглавление</w:t>
          </w:r>
        </w:p>
        <w:p w:rsidR="008B06A4" w:rsidRDefault="00B9399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44474" w:history="1">
            <w:r w:rsidR="008B06A4" w:rsidRPr="004D341B">
              <w:rPr>
                <w:rStyle w:val="aa"/>
                <w:noProof/>
              </w:rPr>
              <w:t>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Общее описание.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_Toc501544474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5" w:history="1">
            <w:r w:rsidR="008B06A4" w:rsidRPr="004D341B">
              <w:rPr>
                <w:rStyle w:val="aa"/>
                <w:noProof/>
              </w:rPr>
              <w:t>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Интерфейс.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_Toc501544475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6" w:history="1">
            <w:r w:rsidR="008B06A4" w:rsidRPr="004D341B">
              <w:rPr>
                <w:rStyle w:val="aa"/>
                <w:noProof/>
              </w:rPr>
              <w:t>2.1.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поиска испытаний.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_Toc501544476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7" w:history="1">
            <w:r w:rsidR="008B06A4" w:rsidRPr="004D341B">
              <w:rPr>
                <w:rStyle w:val="aa"/>
                <w:noProof/>
              </w:rPr>
              <w:t>2.2.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просмотра информации об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_Toc501544477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4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8" w:history="1">
            <w:r w:rsidR="008B06A4" w:rsidRPr="004D341B">
              <w:rPr>
                <w:rStyle w:val="aa"/>
                <w:noProof/>
              </w:rPr>
              <w:t>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Работа с программой.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_Toc501544478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9" w:history="1">
            <w:r w:rsidR="008B06A4" w:rsidRPr="004D341B">
              <w:rPr>
                <w:rStyle w:val="aa"/>
                <w:noProof/>
              </w:rPr>
              <w:t>3.1.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_Toc501544479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0" w:history="1">
            <w:r w:rsidR="008B06A4" w:rsidRPr="004D341B">
              <w:rPr>
                <w:rStyle w:val="aa"/>
                <w:noProof/>
              </w:rPr>
              <w:t>3.2.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Пересчёт длины испытанного кабеля.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_Toc501544480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7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1" w:history="1">
            <w:r w:rsidR="008B06A4" w:rsidRPr="004D341B">
              <w:rPr>
                <w:rStyle w:val="aa"/>
                <w:noProof/>
              </w:rPr>
              <w:t>3.3.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Корректировка результатов, вышедших за норму.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_Toc501544481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8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D76AAE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2" w:history="1">
            <w:r w:rsidR="008B06A4" w:rsidRPr="004D341B">
              <w:rPr>
                <w:rStyle w:val="aa"/>
                <w:noProof/>
              </w:rPr>
              <w:t>3.4.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 xml:space="preserve">Формирование протокола в формате </w:t>
            </w:r>
            <w:r w:rsidR="008B06A4" w:rsidRPr="004D341B">
              <w:rPr>
                <w:rStyle w:val="aa"/>
                <w:noProof/>
                <w:lang w:val="en-US"/>
              </w:rPr>
              <w:t>PDF</w:t>
            </w:r>
            <w:r w:rsidR="008B06A4" w:rsidRPr="004D341B">
              <w:rPr>
                <w:rStyle w:val="aa"/>
                <w:noProof/>
              </w:rPr>
              <w:t>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_Toc501544482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762391">
              <w:rPr>
                <w:noProof/>
                <w:webHidden/>
              </w:rPr>
              <w:t>11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B93991" w:rsidRDefault="00B93991" w:rsidP="008B06A4">
          <w:pPr>
            <w:ind w:left="284" w:hanging="284"/>
          </w:pPr>
          <w:r>
            <w:rPr>
              <w:b/>
              <w:bCs/>
            </w:rPr>
            <w:fldChar w:fldCharType="end"/>
          </w:r>
        </w:p>
      </w:sdtContent>
    </w:sdt>
    <w:p w:rsidR="00897AF5" w:rsidRDefault="00897AF5" w:rsidP="008B06A4">
      <w:pPr>
        <w:ind w:left="284" w:hanging="284"/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1935E7" w:rsidRDefault="001935E7" w:rsidP="001935E7">
      <w:pPr>
        <w:pStyle w:val="1"/>
        <w:numPr>
          <w:ilvl w:val="0"/>
          <w:numId w:val="0"/>
        </w:numPr>
        <w:rPr>
          <w:rFonts w:eastAsiaTheme="minorHAnsi" w:cstheme="minorBidi"/>
          <w:color w:val="auto"/>
          <w:sz w:val="22"/>
          <w:szCs w:val="22"/>
        </w:rPr>
      </w:pPr>
      <w:bookmarkStart w:id="1" w:name="_Toc501544474"/>
    </w:p>
    <w:p w:rsidR="001935E7" w:rsidRDefault="001935E7" w:rsidP="001935E7"/>
    <w:p w:rsidR="001935E7" w:rsidRPr="001935E7" w:rsidRDefault="001935E7" w:rsidP="001935E7"/>
    <w:p w:rsidR="00897AF5" w:rsidRDefault="00B93991" w:rsidP="00B93991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Общее описание.</w:t>
      </w:r>
      <w:bookmarkEnd w:id="1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</w:t>
      </w:r>
      <w:r w:rsidR="001935E7">
        <w:t>втоматизации испытаний типа САК</w:t>
      </w:r>
      <w:r>
        <w:t>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2" w:name="_Toc501544475"/>
      <w:r>
        <w:t>Интерфейс</w:t>
      </w:r>
      <w:r w:rsidR="00B93991">
        <w:t>.</w:t>
      </w:r>
      <w:bookmarkEnd w:id="2"/>
    </w:p>
    <w:p w:rsidR="000E73AC" w:rsidRDefault="002606BB" w:rsidP="007E14C1">
      <w:pPr>
        <w:pStyle w:val="2"/>
        <w:numPr>
          <w:ilvl w:val="1"/>
          <w:numId w:val="10"/>
        </w:numPr>
      </w:pPr>
      <w:bookmarkStart w:id="3" w:name="_Окно_поиска_испытаний."/>
      <w:bookmarkStart w:id="4" w:name="_Toc501544476"/>
      <w:bookmarkEnd w:id="3"/>
      <w:r>
        <w:t>Окно поиска испытаний</w:t>
      </w:r>
      <w:r w:rsidR="000E73AC">
        <w:t>.</w:t>
      </w:r>
      <w:bookmarkEnd w:id="4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2D129B" w:rsidP="002D129B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43575" cy="375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21_14-05-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36" cy="37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</w:t>
        </w:r>
      </w:fldSimple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2D129B" w:rsidRDefault="002D129B" w:rsidP="00F17790">
      <w:pPr>
        <w:pStyle w:val="a8"/>
        <w:numPr>
          <w:ilvl w:val="0"/>
          <w:numId w:val="14"/>
        </w:numPr>
      </w:pPr>
      <w:r>
        <w:t>Выпадающий список «</w:t>
      </w:r>
      <w:r w:rsidRPr="002D129B">
        <w:rPr>
          <w:b/>
        </w:rPr>
        <w:t>История просмотров</w:t>
      </w:r>
      <w:r>
        <w:t xml:space="preserve">» - содержит в себе ссылки быстрого доступа к 10 последним просмотренным испытаниям. 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5" w:name="_Окно_просмотра_информации"/>
      <w:bookmarkStart w:id="6" w:name="_Toc501544477"/>
      <w:bookmarkEnd w:id="5"/>
      <w:r>
        <w:t>Окно просмотра информации об испытании.</w:t>
      </w:r>
      <w:bookmarkEnd w:id="6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B0711F" w:rsidP="00B0711F">
      <w:pPr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5582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2-21_14-18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2</w:t>
        </w:r>
      </w:fldSimple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 корре</w:t>
      </w:r>
      <w:r w:rsidR="00B0711F" w:rsidRPr="00B0711F">
        <w:rPr>
          <w:b/>
        </w:rPr>
        <w:t>кции</w:t>
      </w:r>
      <w:r w:rsidRPr="00B0711F">
        <w:rPr>
          <w:b/>
        </w:rPr>
        <w:t xml:space="preserve"> результатов</w:t>
      </w:r>
      <w:r w:rsidR="007163D1">
        <w:t>,</w:t>
      </w:r>
      <w:r>
        <w:t xml:space="preserve"> вышедших за норму,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>
        <w:rPr>
          <w:b/>
        </w:rPr>
        <w:t>Структуры с выходом за норму</w:t>
      </w:r>
      <w:r>
        <w:t>», содержит структуры, у которых результат выш</w:t>
      </w:r>
      <w:r w:rsidR="00D81C46">
        <w:t>ел за норму.</w:t>
      </w:r>
    </w:p>
    <w:p w:rsidR="00D81C46" w:rsidRDefault="00005865" w:rsidP="00D81C46">
      <w:pPr>
        <w:pStyle w:val="a8"/>
        <w:numPr>
          <w:ilvl w:val="1"/>
          <w:numId w:val="20"/>
        </w:numPr>
      </w:pPr>
      <w:r>
        <w:t xml:space="preserve">Вкладки </w:t>
      </w:r>
      <w:r w:rsidR="00B0711F">
        <w:t>содержащие значения измерения</w:t>
      </w:r>
      <w:r>
        <w:t xml:space="preserve"> </w:t>
      </w:r>
      <w:r w:rsidR="00B0711F">
        <w:t xml:space="preserve">вышедших за норму </w:t>
      </w:r>
      <w:r>
        <w:t>параметров;</w:t>
      </w:r>
    </w:p>
    <w:p w:rsidR="00646649" w:rsidRDefault="00005865" w:rsidP="00D81C46">
      <w:pPr>
        <w:pStyle w:val="a8"/>
        <w:numPr>
          <w:ilvl w:val="1"/>
          <w:numId w:val="20"/>
        </w:numPr>
      </w:pPr>
      <w:r w:rsidRPr="00B0711F">
        <w:rPr>
          <w:b/>
        </w:rPr>
        <w:t>Меню коррекции результата</w:t>
      </w:r>
      <w:r>
        <w:t xml:space="preserve">, </w:t>
      </w:r>
      <w:r w:rsidR="00B0711F">
        <w:t>включающее в себя</w:t>
      </w:r>
      <w:r w:rsidR="00646649">
        <w:t>:</w:t>
      </w:r>
    </w:p>
    <w:p w:rsidR="00646649" w:rsidRDefault="00646649" w:rsidP="00646649">
      <w:pPr>
        <w:pStyle w:val="a8"/>
        <w:numPr>
          <w:ilvl w:val="2"/>
          <w:numId w:val="20"/>
        </w:numPr>
        <w:ind w:left="2410"/>
      </w:pPr>
      <w:r>
        <w:lastRenderedPageBreak/>
        <w:t>С</w:t>
      </w:r>
      <w:r w:rsidR="00005865">
        <w:t>електор предела</w:t>
      </w:r>
      <w:r>
        <w:t xml:space="preserve"> допустимой</w:t>
      </w:r>
      <w:r w:rsidR="00005865">
        <w:t xml:space="preserve"> коррекции – значения допустимого отклонения от нормы, котор</w:t>
      </w:r>
      <w:r>
        <w:t>ое необходимо откорректировать</w:t>
      </w:r>
      <w:r w:rsidR="00B0711F">
        <w:t>;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646649" w:rsidP="00646649">
      <w:pPr>
        <w:pStyle w:val="a8"/>
        <w:numPr>
          <w:ilvl w:val="1"/>
          <w:numId w:val="20"/>
        </w:numPr>
      </w:pPr>
      <w:r>
        <w:t>Таблица значений, вышедших за норму, с указанием номера элемента структуры, диапазона допустимых значений и</w:t>
      </w:r>
      <w:r w:rsidR="00182E8A">
        <w:t xml:space="preserve"> величину</w:t>
      </w:r>
      <w:r>
        <w:t xml:space="preserve"> отклонения результата от нормы.</w:t>
      </w:r>
    </w:p>
    <w:p w:rsidR="00182E8A" w:rsidRDefault="00182E8A" w:rsidP="00182E8A">
      <w:pPr>
        <w:pStyle w:val="1"/>
      </w:pPr>
      <w:bookmarkStart w:id="7" w:name="_Toc501544478"/>
      <w:r>
        <w:t>Работа с программой.</w:t>
      </w:r>
      <w:bookmarkEnd w:id="7"/>
    </w:p>
    <w:p w:rsidR="00182E8A" w:rsidRDefault="00182E8A" w:rsidP="00182E8A">
      <w:pPr>
        <w:pStyle w:val="2"/>
        <w:numPr>
          <w:ilvl w:val="1"/>
          <w:numId w:val="10"/>
        </w:numPr>
      </w:pPr>
      <w:bookmarkStart w:id="8" w:name="_Toc501544479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8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3</w:t>
        </w:r>
      </w:fldSimple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4</w:t>
        </w:r>
      </w:fldSimple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>При наличии в Базе Данных испытаний, удовлетворяющих заданным критериям, таблица результата будет иметь как на рисунке 5.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5</w:t>
        </w:r>
      </w:fldSimple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lastRenderedPageBreak/>
        <w:t>При отсутствии в Базе Данных испытаний, удовлетворяющих заданным критериям, таблица результата будет иметь вид как на рисунке 6.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6</w:t>
        </w:r>
      </w:fldSimple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7</w:t>
        </w:r>
      </w:fldSimple>
      <w:r>
        <w:t xml:space="preserve">: </w:t>
      </w:r>
      <w:r w:rsidR="008B06A4">
        <w:t>Переход в окно испытаний через контекстное меню</w:t>
      </w:r>
    </w:p>
    <w:p w:rsidR="008B06A4" w:rsidRPr="008B06A4" w:rsidRDefault="008B06A4" w:rsidP="008B06A4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9" w:name="_Toc501544480"/>
      <w:r>
        <w:t>Пересчёт длины испытанного кабеля.</w:t>
      </w:r>
      <w:bookmarkEnd w:id="9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пункт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180F2D" w:rsidRPr="00180F2D" w:rsidRDefault="00284FB8" w:rsidP="00180F2D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>» не активна и панель пересчёта длины выгляди как на рисунке 8.</w:t>
      </w:r>
      <w:r w:rsidR="00180F2D">
        <w:t xml:space="preserve"> </w:t>
      </w:r>
    </w:p>
    <w:p w:rsidR="00284FB8" w:rsidRPr="00284FB8" w:rsidRDefault="00284FB8" w:rsidP="00C72163">
      <w:pPr>
        <w:ind w:firstLine="372"/>
      </w:pPr>
    </w:p>
    <w:p w:rsidR="00284FB8" w:rsidRDefault="00284FB8" w:rsidP="00C72163">
      <w:pPr>
        <w:ind w:firstLine="372"/>
      </w:pP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8</w:t>
        </w:r>
      </w:fldSimple>
      <w:r>
        <w:t>: Вид панели изменения длины с неактивной кнопкой пересчёта.</w:t>
      </w:r>
    </w:p>
    <w:p w:rsidR="008B06A4" w:rsidRDefault="00180F2D" w:rsidP="008B06A4">
      <w:r>
        <w:t>При изменении длины в селекторе на отличную от длины, сохраненной в Базе Данных, кнопка пересчитать становится активной как на рисунке 9.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9</w:t>
        </w:r>
      </w:fldSimple>
      <w:r>
        <w:t>: Вид панели изменения длины с активной кнопкой пересчета.</w:t>
      </w:r>
    </w:p>
    <w:p w:rsidR="00D061C7" w:rsidRDefault="003D02CB" w:rsidP="00D061C7">
      <w:r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10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10</w:t>
        </w:r>
      </w:fldSimple>
      <w:r>
        <w:t>: Процесс пересчёта длины</w:t>
      </w:r>
    </w:p>
    <w:p w:rsidR="00204D33" w:rsidRP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10" w:name="_Toc501544481"/>
      <w:r>
        <w:t>Корректировка результатов, вышедших за норму.</w:t>
      </w:r>
      <w:bookmarkEnd w:id="10"/>
    </w:p>
    <w:p w:rsidR="00BA23A9" w:rsidRDefault="00BB5AA0" w:rsidP="00BB5AA0">
      <w:pPr>
        <w:ind w:firstLine="372"/>
      </w:pPr>
      <w:r>
        <w:t>Корректировка результатов, вышедших за норму,</w:t>
      </w:r>
      <w:r w:rsidR="00BA23A9">
        <w:t xml:space="preserve"> </w:t>
      </w:r>
      <w:r w:rsidR="00B0711F">
        <w:t xml:space="preserve">осуществляется на </w:t>
      </w:r>
      <w:r w:rsidR="00B0711F">
        <w:rPr>
          <w:b/>
        </w:rPr>
        <w:t>панели</w:t>
      </w:r>
      <w:r w:rsidR="00B0711F" w:rsidRPr="00B0711F">
        <w:rPr>
          <w:b/>
        </w:rPr>
        <w:t xml:space="preserve"> коррекции результатов</w:t>
      </w:r>
      <w:r w:rsidR="00B0711F">
        <w:t>, которая находится</w:t>
      </w:r>
      <w:r w:rsidR="00BA23A9">
        <w:t xml:space="preserve"> </w:t>
      </w:r>
      <w:r w:rsidR="00B0711F">
        <w:t xml:space="preserve">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</w:p>
    <w:p w:rsidR="00B0711F" w:rsidRDefault="00B0711F" w:rsidP="00BB5AA0">
      <w:pPr>
        <w:ind w:firstLine="372"/>
      </w:pPr>
      <w:r>
        <w:t>Для корректировки параметров необходимо:</w:t>
      </w:r>
    </w:p>
    <w:p w:rsidR="00B0711F" w:rsidRDefault="00B0711F" w:rsidP="00B0711F">
      <w:pPr>
        <w:pStyle w:val="a8"/>
        <w:numPr>
          <w:ilvl w:val="3"/>
          <w:numId w:val="20"/>
        </w:numPr>
        <w:ind w:left="1418"/>
      </w:pPr>
      <w:r>
        <w:t xml:space="preserve">Выбрать </w:t>
      </w:r>
      <w:r w:rsidR="00D4063C">
        <w:t>допустимый предел корректировки из выпадающего списка (рисунок 11)</w:t>
      </w:r>
    </w:p>
    <w:p w:rsidR="00D4063C" w:rsidRDefault="007E77D1" w:rsidP="00D4063C">
      <w:pPr>
        <w:pStyle w:val="a8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367188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12-21_14-43-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78" cy="36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11</w:t>
        </w:r>
      </w:fldSimple>
      <w:r>
        <w:t>: Выбор предела допустимой коррекции</w:t>
      </w:r>
    </w:p>
    <w:p w:rsidR="00D4063C" w:rsidRDefault="00D4063C" w:rsidP="00D4063C">
      <w:pPr>
        <w:pStyle w:val="a8"/>
        <w:numPr>
          <w:ilvl w:val="3"/>
          <w:numId w:val="20"/>
        </w:numPr>
        <w:ind w:left="1418"/>
      </w:pPr>
      <w:r>
        <w:t>Нажать кнопку «</w:t>
      </w:r>
      <w:r w:rsidR="007E77D1">
        <w:rPr>
          <w:b/>
        </w:rPr>
        <w:t>П</w:t>
      </w:r>
      <w:r>
        <w:rPr>
          <w:b/>
        </w:rPr>
        <w:t>роизвести коррекцию</w:t>
      </w:r>
      <w:r>
        <w:t>»</w:t>
      </w:r>
      <w:r w:rsidR="007E77D1">
        <w:t xml:space="preserve"> (рисунок 12);</w:t>
      </w:r>
    </w:p>
    <w:p w:rsidR="007E77D1" w:rsidRDefault="007E77D1" w:rsidP="007E77D1">
      <w:pPr>
        <w:pStyle w:val="a8"/>
        <w:ind w:left="1418"/>
      </w:pPr>
    </w:p>
    <w:p w:rsidR="007E77D1" w:rsidRDefault="007E77D1" w:rsidP="007E77D1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667250" cy="36793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12-21_14-46-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48" cy="36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Default="007E77D1" w:rsidP="007E77D1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12</w:t>
        </w:r>
      </w:fldSimple>
      <w:r>
        <w:t>: Запуск корректировки результатов параметра</w:t>
      </w:r>
    </w:p>
    <w:p w:rsidR="007E77D1" w:rsidRDefault="007E77D1" w:rsidP="007E77D1">
      <w:pPr>
        <w:pStyle w:val="a8"/>
        <w:numPr>
          <w:ilvl w:val="3"/>
          <w:numId w:val="20"/>
        </w:numPr>
        <w:ind w:left="1418"/>
      </w:pPr>
      <w:r>
        <w:t>Так как операция корректировки вносит необратимые изменения в результаты испытаний, после нажатия кнопки «</w:t>
      </w:r>
      <w:r>
        <w:rPr>
          <w:b/>
        </w:rPr>
        <w:t>Произвести коррекцию</w:t>
      </w:r>
      <w:r>
        <w:t xml:space="preserve">» Вам будет </w:t>
      </w:r>
      <w:r>
        <w:lastRenderedPageBreak/>
        <w:t>предложено подтвердить операцию корректировки (рисунок 13)</w:t>
      </w:r>
      <w:r w:rsidR="004F52E2">
        <w:t>. Нажав кнопку «</w:t>
      </w:r>
      <w:r w:rsidR="004F52E2">
        <w:rPr>
          <w:b/>
        </w:rPr>
        <w:t>Да</w:t>
      </w:r>
      <w:r w:rsidR="004F52E2">
        <w:t>» окне подтверждения, Вы запустите автоматическую корректировку, если же нажмёте «</w:t>
      </w:r>
      <w:r w:rsidR="004F52E2">
        <w:rPr>
          <w:b/>
        </w:rPr>
        <w:t>Нет</w:t>
      </w:r>
      <w:r w:rsidR="004F52E2">
        <w:t>» - корректировка производиться не будет</w:t>
      </w:r>
      <w:r>
        <w:t>;</w:t>
      </w:r>
    </w:p>
    <w:p w:rsidR="004F52E2" w:rsidRDefault="004F52E2" w:rsidP="004F52E2">
      <w:pPr>
        <w:pStyle w:val="a8"/>
        <w:ind w:left="1418"/>
      </w:pPr>
    </w:p>
    <w:p w:rsidR="004F52E2" w:rsidRDefault="007E77D1" w:rsidP="004F52E2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752975" cy="37469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12-21_14-57-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30" cy="3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Pr="007E77D1" w:rsidRDefault="004F52E2" w:rsidP="004F52E2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13</w:t>
        </w:r>
      </w:fldSimple>
      <w:r>
        <w:t>: Подтверждение корректировки результатов</w:t>
      </w:r>
    </w:p>
    <w:p w:rsidR="007E77D1" w:rsidRDefault="004F52E2" w:rsidP="004F52E2">
      <w:pPr>
        <w:pStyle w:val="a8"/>
        <w:numPr>
          <w:ilvl w:val="3"/>
          <w:numId w:val="20"/>
        </w:numPr>
        <w:tabs>
          <w:tab w:val="left" w:pos="4111"/>
        </w:tabs>
        <w:ind w:left="1418"/>
      </w:pPr>
      <w:r>
        <w:t>По окончанию операции корректировки выйдет сообщение об успешном окончании коррекции (рисунок 14).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4F52E2" w:rsidP="004F52E2">
      <w:pPr>
        <w:pStyle w:val="a8"/>
        <w:keepNext/>
        <w:tabs>
          <w:tab w:val="left" w:pos="4111"/>
        </w:tabs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009323" cy="316072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12-21_15-02-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71" cy="31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Pr="00D4063C" w:rsidRDefault="004F52E2" w:rsidP="004F52E2">
      <w:pPr>
        <w:pStyle w:val="ae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14</w:t>
        </w:r>
      </w:fldSimple>
      <w:r>
        <w:t>: Сообщение об окончании корректировки</w:t>
      </w:r>
    </w:p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1" w:name="_Toc501544482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1"/>
    </w:p>
    <w:p w:rsidR="006D4B6F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  <w:r w:rsidR="006D4B6F">
        <w:t xml:space="preserve"> </w:t>
      </w:r>
    </w:p>
    <w:p w:rsidR="00407755" w:rsidRPr="001935E7" w:rsidRDefault="006D4B6F" w:rsidP="00407755">
      <w:pPr>
        <w:ind w:firstLine="372"/>
      </w:pPr>
      <w:r>
        <w:t xml:space="preserve">По умолчанию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по адресу «</w:t>
      </w:r>
      <w:r>
        <w:rPr>
          <w:lang w:val="en-US"/>
        </w:rPr>
        <w:t>C</w:t>
      </w:r>
      <w:r w:rsidRPr="006D4B6F">
        <w:t>:/</w:t>
      </w:r>
      <w:r>
        <w:rPr>
          <w:lang w:val="en-US"/>
        </w:rPr>
        <w:t>CAK</w:t>
      </w:r>
      <w:r w:rsidRPr="006D4B6F">
        <w:t>/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>
        <w:t>»</w:t>
      </w:r>
      <w:r w:rsidRPr="006D4B6F">
        <w:t xml:space="preserve">. </w:t>
      </w:r>
      <w:r>
        <w:t xml:space="preserve">Если на Вашем компьютере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в другой папке, при попытке сформировать протокол</w:t>
      </w:r>
      <w:r w:rsidR="001935E7" w:rsidRPr="001935E7">
        <w:t xml:space="preserve"> </w:t>
      </w:r>
      <w:r w:rsidR="001935E7">
        <w:t xml:space="preserve">Вам будет предложено выбрать его новое местоположение. 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 поиска испытаний</w:t>
      </w:r>
      <w:r>
        <w:rPr>
          <w:b/>
        </w:rPr>
        <w:t xml:space="preserve"> </w:t>
      </w:r>
      <w:r w:rsidR="00550D13">
        <w:t>через контекстное меню (рисунок 15);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  <w:rPr>
          <w:b/>
        </w:rPr>
      </w:pPr>
      <w:r>
        <w:t xml:space="preserve">Рисунок </w:t>
      </w:r>
      <w:fldSimple w:instr=" SEQ Рисунок \* ARABIC ">
        <w:r w:rsidR="00762391">
          <w:rPr>
            <w:noProof/>
          </w:rPr>
          <w:t>15</w:t>
        </w:r>
      </w:fldSimple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>рисунок 16</w:t>
      </w:r>
      <w:r w:rsidRPr="00550D13">
        <w:t>)</w:t>
      </w:r>
      <w:r>
        <w:t>.</w:t>
      </w:r>
    </w:p>
    <w:p w:rsidR="001935E7" w:rsidRDefault="001935E7" w:rsidP="001935E7">
      <w:pPr>
        <w:pStyle w:val="a8"/>
        <w:ind w:left="1276"/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829175" cy="20654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12-21_15-44-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01" cy="20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5" w:rsidRPr="00897AF5" w:rsidRDefault="00550D13" w:rsidP="001935E7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762391">
          <w:rPr>
            <w:noProof/>
          </w:rPr>
          <w:t>16</w:t>
        </w:r>
      </w:fldSimple>
      <w:r>
        <w:t>: Формирование протокола испытаний в окне просмотра информации об испытании</w:t>
      </w:r>
    </w:p>
    <w:sectPr w:rsidR="00897AF5" w:rsidRPr="00897AF5" w:rsidSect="008B06A4">
      <w:headerReference w:type="default" r:id="rId24"/>
      <w:footerReference w:type="default" r:id="rId25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AAE" w:rsidRDefault="00D76AAE" w:rsidP="00D15BDD">
      <w:pPr>
        <w:spacing w:after="0" w:line="240" w:lineRule="auto"/>
      </w:pPr>
      <w:r>
        <w:separator/>
      </w:r>
    </w:p>
  </w:endnote>
  <w:endnote w:type="continuationSeparator" w:id="0">
    <w:p w:rsidR="00D76AAE" w:rsidRDefault="00D76AAE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5A4">
          <w:rPr>
            <w:noProof/>
          </w:rPr>
          <w:t>11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AAE" w:rsidRDefault="00D76AAE" w:rsidP="00D15BDD">
      <w:pPr>
        <w:spacing w:after="0" w:line="240" w:lineRule="auto"/>
      </w:pPr>
      <w:r>
        <w:separator/>
      </w:r>
    </w:p>
  </w:footnote>
  <w:footnote w:type="continuationSeparator" w:id="0">
    <w:p w:rsidR="00D76AAE" w:rsidRDefault="00D76AAE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>
      <w:t>версия 1.0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12"/>
  </w:num>
  <w:num w:numId="19">
    <w:abstractNumId w:val="19"/>
  </w:num>
  <w:num w:numId="20">
    <w:abstractNumId w:val="14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C656D"/>
    <w:rsid w:val="000E73AC"/>
    <w:rsid w:val="00180F2D"/>
    <w:rsid w:val="00182E8A"/>
    <w:rsid w:val="00184809"/>
    <w:rsid w:val="001935E7"/>
    <w:rsid w:val="001D3FD0"/>
    <w:rsid w:val="00200823"/>
    <w:rsid w:val="00204D33"/>
    <w:rsid w:val="002606BB"/>
    <w:rsid w:val="00284FB8"/>
    <w:rsid w:val="002B10E3"/>
    <w:rsid w:val="002D129B"/>
    <w:rsid w:val="003165A4"/>
    <w:rsid w:val="00353F03"/>
    <w:rsid w:val="003D02CB"/>
    <w:rsid w:val="003D2F50"/>
    <w:rsid w:val="00407755"/>
    <w:rsid w:val="004D0739"/>
    <w:rsid w:val="004F52E2"/>
    <w:rsid w:val="0051249A"/>
    <w:rsid w:val="00533AB4"/>
    <w:rsid w:val="005501C8"/>
    <w:rsid w:val="00550D13"/>
    <w:rsid w:val="005717E5"/>
    <w:rsid w:val="00646649"/>
    <w:rsid w:val="006D4B6F"/>
    <w:rsid w:val="006E6CF8"/>
    <w:rsid w:val="007163D1"/>
    <w:rsid w:val="007231D1"/>
    <w:rsid w:val="00762391"/>
    <w:rsid w:val="007D1742"/>
    <w:rsid w:val="007E14C1"/>
    <w:rsid w:val="007E77D1"/>
    <w:rsid w:val="008122CF"/>
    <w:rsid w:val="00897AF5"/>
    <w:rsid w:val="008B06A4"/>
    <w:rsid w:val="00920F24"/>
    <w:rsid w:val="00A170C2"/>
    <w:rsid w:val="00AC2B6B"/>
    <w:rsid w:val="00B0711F"/>
    <w:rsid w:val="00B93991"/>
    <w:rsid w:val="00BA23A9"/>
    <w:rsid w:val="00BB5AA0"/>
    <w:rsid w:val="00BD2395"/>
    <w:rsid w:val="00C46D44"/>
    <w:rsid w:val="00C72163"/>
    <w:rsid w:val="00C94ECC"/>
    <w:rsid w:val="00D061C7"/>
    <w:rsid w:val="00D15BDD"/>
    <w:rsid w:val="00D4063C"/>
    <w:rsid w:val="00D76AAE"/>
    <w:rsid w:val="00D81C46"/>
    <w:rsid w:val="00E53283"/>
    <w:rsid w:val="00E87629"/>
    <w:rsid w:val="00ED7562"/>
    <w:rsid w:val="00F17790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93991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B93991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6A4"/>
    <w:pPr>
      <w:tabs>
        <w:tab w:val="left" w:pos="1320"/>
        <w:tab w:val="right" w:leader="dot" w:pos="9770"/>
      </w:tabs>
      <w:spacing w:after="100"/>
    </w:p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1249A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3A49-4ECD-4087-9981-00F992C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8</cp:revision>
  <cp:lastPrinted>2017-12-22T13:13:00Z</cp:lastPrinted>
  <dcterms:created xsi:type="dcterms:W3CDTF">2017-12-19T11:42:00Z</dcterms:created>
  <dcterms:modified xsi:type="dcterms:W3CDTF">2017-12-22T13:59:00Z</dcterms:modified>
</cp:coreProperties>
</file>