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668145eb622c0ca0b64fc207952bd709da41c6"/>
    <w:p>
      <w:pPr>
        <w:pStyle w:val="Heading1"/>
      </w:pPr>
      <w:r>
        <w:t xml:space="preserve">Universal Citation Formatter Runtime Server</w:t>
      </w:r>
    </w:p>
    <w:p>
      <w:pPr>
        <w:pStyle w:val="FirstParagraph"/>
      </w:pPr>
      <w:r>
        <w:t xml:space="preserve">Track blocks can serve as an intermediate format, but citations should remain the final resolved output.</w:t>
      </w:r>
    </w:p>
    <w:p>
      <w:pPr>
        <w:pStyle w:val="BodyText"/>
      </w:pPr>
      <w:r>
        <w:t xml:space="preserve">UCF-RS should convert source content into externalized, UCF-compliant track blocks. It should then determine and update the citations associated with those track blocks.</w:t>
      </w:r>
    </w:p>
    <w:p>
      <w:pPr>
        <w:pStyle w:val="BodyText"/>
      </w:pPr>
      <w:r>
        <w:t xml:space="preserve">Citations should not be persisted directly in the file. Instead, they should be persisted in the UCF runtime server.</w:t>
      </w:r>
    </w:p>
    <w:p>
      <w:pPr>
        <w:pStyle w:val="BodyText"/>
      </w:pPr>
      <w:r>
        <w:t xml:space="preserve">UCF-RS is not a parser in the traditional sense, but it functions like one by delivering citations as an overlay. This keeps the system universal across file types.</w:t>
      </w:r>
    </w:p>
    <w:p>
      <w:pPr>
        <w:pStyle w:val="BodyText"/>
      </w:pPr>
      <w:r>
        <w:t xml:space="preserve">Citations are converted and resolved only at runtime. As a result, they do not require an always-on filesystem watcher. They are also neither embedded directly inside the file nor stored as separate file-local metadata. Instead, they exist as a runtime overlay.</w:t>
      </w:r>
    </w:p>
    <w:p>
      <w:pPr>
        <w:pStyle w:val="BodyText"/>
      </w:pPr>
      <w:r>
        <w:t xml:space="preserve">Hashes still require a handle registry, but citation formatting can be converted to UCF, or Universal Citation Format.</w:t>
      </w:r>
    </w:p>
    <w:p>
      <w:pPr>
        <w:pStyle w:val="BodyText"/>
      </w:pPr>
      <w:r>
        <w:t xml:space="preserve">This approach combines universality across all file types with explicit runtime traceability. It preserves the best aspects of version 2.1.7, especially minimal intrusiveness, while also incorporating the strengths of version 3, including agentic workflows and brownfield compatibility.</w:t>
      </w:r>
    </w:p>
    <w:p>
      <w:pPr>
        <w:pStyle w:val="BodyText"/>
      </w:pPr>
      <w:r>
        <w:t xml:space="preserve">The requirement evidence registry can plug directly into UCF. This allows users to view the requirement registry and handle registry bidirectionally when using UCF-RS over their document format, including formats that integrate with language servers. Chatbots can use the same mechanism.</w:t>
      </w:r>
    </w:p>
    <w:p>
      <w:pPr>
        <w:pStyle w:val="BodyText"/>
      </w:pPr>
      <w:r>
        <w:t xml:space="preserve">AI-human traceability parity is satisfied because traceability and universality are both explicit and unambiguous.</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2026-07-09T21:11:16Z</dcterms:created>
  <dcterms:modified xsi:type="dcterms:W3CDTF">2026-07-09T21:11:16Z</dcterms:modified>
</cp:coreProperties>
</file>

<file path=docProps/custom.xml><?xml version="1.0" encoding="utf-8"?>
<Properties xmlns="http://schemas.openxmlformats.org/officeDocument/2006/custom-properties" xmlns:vt="http://schemas.openxmlformats.org/officeDocument/2006/docPropsVTypes"/>
</file>