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120"/>
      </w:pPr>
      <w:r>
        <w:rPr>
          <w:b/>
          <w:color w:val="B8924A"/>
          <w:spacing w:val="60"/>
          <w:sz w:val="18"/>
          <w:szCs w:val="18"/>
        </w:rPr>
        <w:t xml:space="preserve">CLINICAL AUDIT PROPOSAL</w:t>
      </w:r>
    </w:p>
    <w:p>
      <w:pPr>
        <w:spacing w:before="0" w:after="160" w:line="252" w:lineRule="auto"/>
      </w:pPr>
      <w:r>
        <w:rPr>
          <w:rFonts w:ascii="Georgia" w:hAnsi="Georgia" w:cs="Georgia"/>
          <w:color w:val="0B1F3A"/>
          <w:sz w:val="48"/>
          <w:szCs w:val="48"/>
        </w:rPr>
        <w:t xml:space="preserve">What proportion of adults at high risk from sepsis (NEWS2 7 or more with suspected infection) receive IV antibiotics within 1 hour of their first ED NEWS2 score?</w:t>
      </w:r>
    </w:p>
    <w:p>
      <w:pPr>
        <w:spacing w:before="0" w:after="240"/>
      </w:pPr>
      <w:r>
        <w:rPr>
          <w:color w:val="44506A"/>
          <w:sz w:val="20"/>
          <w:szCs w:val="20"/>
        </w:rPr>
        <w:t xml:space="preserve">Emergency Department, Riverside General Hospital   ·   Prepared 29 Sep 2026</w:t>
      </w:r>
    </w:p>
    <w:tbl>
      <w:tblPr>
        <w:tblW w:w="9638" w:type="dxa"/>
        <w:tblBorders>
          <w:top w:val="single" w:sz="4" w:space="0" w:color="E4E1D8"/>
          <w:left w:val="single" w:sz="4" w:space="0" w:color="E4E1D8"/>
          <w:bottom w:val="single" w:sz="4" w:space="0" w:color="E4E1D8"/>
          <w:right w:val="single" w:sz="4" w:space="0" w:color="E4E1D8"/>
          <w:insideH w:val="single" w:sz="4" w:space="0" w:color="E4E1D8"/>
          <w:insideV w:val="single" w:sz="4" w:space="0" w:color="E4E1D8"/>
        </w:tblBorders>
        <w:tblLayout w:type="fixed"/>
        <w:tblLook w:val="04A0" w:firstRow="1" w:lastRow="0" w:firstColumn="0" w:lastColumn="0" w:noHBand="1" w:noVBand="1"/>
      </w:tblPr>
      <w:tblGrid>
        <w:gridCol w:w="1900"/>
        <w:gridCol w:w="2919"/>
        <w:gridCol w:w="1900"/>
        <w:gridCol w:w="2919"/>
      </w:tblGrid>
      <w:tr>
        <w:trPr>
          <w:cantSplit/>
        </w:trPr>
        <w:tc>
          <w:tcPr>
            <w:tcW w:w="1900" w:type="dxa"/>
            <w:shd w:val="clear" w:color="auto" w:fill="F6F4EE"/>
            <w:tcMar>
              <w:top w:w="70" w:type="dxa"/>
              <w:left w:w="100" w:type="dxa"/>
              <w:bottom w:w="70" w:type="dxa"/>
              <w:right w:w="100" w:type="dxa"/>
            </w:tcMar>
            <w:vAlign w:val="center"/>
          </w:tcPr>
          <w:p>
            <w:pPr>
              <w:spacing w:before="0" w:after="0"/>
            </w:pPr>
            <w:r>
              <w:rPr>
                <w:b/>
                <w:color w:val="44506A"/>
                <w:spacing w:val="20"/>
                <w:sz w:val="16"/>
                <w:szCs w:val="16"/>
              </w:rPr>
              <w:t xml:space="preserve">AUDIT LEAD</w:t>
            </w:r>
          </w:p>
        </w:tc>
        <w:tc>
          <w:tcPr>
            <w:tcW w:w="2919" w:type="dxa"/>
            <w:tcMar>
              <w:top w:w="70" w:type="dxa"/>
              <w:left w:w="100" w:type="dxa"/>
              <w:bottom w:w="70" w:type="dxa"/>
              <w:right w:w="100" w:type="dxa"/>
            </w:tcMar>
            <w:vAlign w:val="center"/>
          </w:tcPr>
          <w:p>
            <w:pPr>
              <w:spacing w:before="0" w:after="0"/>
            </w:pPr>
            <w:r>
              <w:rPr>
                <w:color w:val="0B1F3A"/>
                <w:sz w:val="20"/>
                <w:szCs w:val="20"/>
              </w:rPr>
              <w:t xml:space="preserve">Alex Morgan, ST4 Emergency Medicine</w:t>
            </w:r>
          </w:p>
        </w:tc>
        <w:tc>
          <w:tcPr>
            <w:tcW w:w="1900" w:type="dxa"/>
            <w:shd w:val="clear" w:color="auto" w:fill="F6F4EE"/>
            <w:tcMar>
              <w:top w:w="70" w:type="dxa"/>
              <w:left w:w="100" w:type="dxa"/>
              <w:bottom w:w="70" w:type="dxa"/>
              <w:right w:w="100" w:type="dxa"/>
            </w:tcMar>
            <w:vAlign w:val="center"/>
          </w:tcPr>
          <w:p>
            <w:pPr>
              <w:spacing w:before="0" w:after="0"/>
            </w:pPr>
            <w:r>
              <w:rPr>
                <w:b/>
                <w:color w:val="44506A"/>
                <w:spacing w:val="20"/>
                <w:sz w:val="16"/>
                <w:szCs w:val="16"/>
              </w:rPr>
              <w:t xml:space="preserve">SUPERVISOR</w:t>
            </w:r>
          </w:p>
        </w:tc>
        <w:tc>
          <w:tcPr>
            <w:tcW w:w="2919" w:type="dxa"/>
            <w:tcMar>
              <w:top w:w="70" w:type="dxa"/>
              <w:left w:w="100" w:type="dxa"/>
              <w:bottom w:w="70" w:type="dxa"/>
              <w:right w:w="100" w:type="dxa"/>
            </w:tcMar>
            <w:vAlign w:val="center"/>
          </w:tcPr>
          <w:p>
            <w:pPr>
              <w:spacing w:before="0" w:after="0"/>
            </w:pPr>
            <w:r>
              <w:rPr>
                <w:color w:val="0B1F3A"/>
                <w:sz w:val="20"/>
                <w:szCs w:val="20"/>
              </w:rPr>
              <w:t xml:space="preserve">Dr Priya Shah</w:t>
            </w:r>
          </w:p>
        </w:tc>
      </w:tr>
      <w:tr>
        <w:trPr>
          <w:cantSplit/>
        </w:trPr>
        <w:tc>
          <w:tcPr>
            <w:tcW w:w="1900" w:type="dxa"/>
            <w:shd w:val="clear" w:color="auto" w:fill="F6F4EE"/>
            <w:tcMar>
              <w:top w:w="70" w:type="dxa"/>
              <w:left w:w="100" w:type="dxa"/>
              <w:bottom w:w="70" w:type="dxa"/>
              <w:right w:w="100" w:type="dxa"/>
            </w:tcMar>
            <w:vAlign w:val="center"/>
          </w:tcPr>
          <w:p>
            <w:pPr>
              <w:spacing w:before="0" w:after="0"/>
            </w:pPr>
            <w:r>
              <w:rPr>
                <w:b/>
                <w:color w:val="44506A"/>
                <w:spacing w:val="20"/>
                <w:sz w:val="16"/>
                <w:szCs w:val="16"/>
              </w:rPr>
              <w:t xml:space="preserve">WHERE</w:t>
            </w:r>
          </w:p>
        </w:tc>
        <w:tc>
          <w:tcPr>
            <w:tcW w:w="2919" w:type="dxa"/>
            <w:tcMar>
              <w:top w:w="70" w:type="dxa"/>
              <w:left w:w="100" w:type="dxa"/>
              <w:bottom w:w="70" w:type="dxa"/>
              <w:right w:w="100" w:type="dxa"/>
            </w:tcMar>
            <w:vAlign w:val="center"/>
          </w:tcPr>
          <w:p>
            <w:pPr>
              <w:spacing w:before="0" w:after="0"/>
            </w:pPr>
            <w:r>
              <w:rPr>
                <w:color w:val="0B1F3A"/>
                <w:sz w:val="20"/>
                <w:szCs w:val="20"/>
              </w:rPr>
              <w:t xml:space="preserve">Emergency Department, Riverside General Hospital</w:t>
            </w:r>
          </w:p>
        </w:tc>
        <w:tc>
          <w:tcPr>
            <w:tcW w:w="1900" w:type="dxa"/>
            <w:shd w:val="clear" w:color="auto" w:fill="F6F4EE"/>
            <w:tcMar>
              <w:top w:w="70" w:type="dxa"/>
              <w:left w:w="100" w:type="dxa"/>
              <w:bottom w:w="70" w:type="dxa"/>
              <w:right w:w="100" w:type="dxa"/>
            </w:tcMar>
            <w:vAlign w:val="center"/>
          </w:tcPr>
          <w:p>
            <w:pPr>
              <w:spacing w:before="0" w:after="0"/>
            </w:pPr>
            <w:r>
              <w:rPr>
                <w:b/>
                <w:color w:val="44506A"/>
                <w:spacing w:val="20"/>
                <w:sz w:val="16"/>
                <w:szCs w:val="16"/>
              </w:rPr>
              <w:t xml:space="preserve">PROPOSED START</w:t>
            </w:r>
          </w:p>
        </w:tc>
        <w:tc>
          <w:tcPr>
            <w:tcW w:w="2919" w:type="dxa"/>
            <w:tcMar>
              <w:top w:w="70" w:type="dxa"/>
              <w:left w:w="100" w:type="dxa"/>
              <w:bottom w:w="70" w:type="dxa"/>
              <w:right w:w="100" w:type="dxa"/>
            </w:tcMar>
            <w:vAlign w:val="center"/>
          </w:tcPr>
          <w:p>
            <w:pPr>
              <w:spacing w:before="0" w:after="0"/>
            </w:pPr>
            <w:r>
              <w:rPr>
                <w:color w:val="0B1F3A"/>
                <w:sz w:val="20"/>
                <w:szCs w:val="20"/>
              </w:rPr>
              <w:t xml:space="preserve">5 Oct 2026</w:t>
            </w:r>
          </w:p>
        </w:tc>
      </w:tr>
      <w:tr>
        <w:trPr>
          <w:cantSplit/>
        </w:trPr>
        <w:tc>
          <w:tcPr>
            <w:tcW w:w="1900" w:type="dxa"/>
            <w:shd w:val="clear" w:color="auto" w:fill="F6F4EE"/>
            <w:tcMar>
              <w:top w:w="70" w:type="dxa"/>
              <w:left w:w="100" w:type="dxa"/>
              <w:bottom w:w="70" w:type="dxa"/>
              <w:right w:w="100" w:type="dxa"/>
            </w:tcMar>
            <w:vAlign w:val="center"/>
          </w:tcPr>
          <w:p>
            <w:pPr>
              <w:spacing w:before="0" w:after="0"/>
            </w:pPr>
            <w:r>
              <w:rPr>
                <w:b/>
                <w:color w:val="44506A"/>
                <w:spacing w:val="20"/>
                <w:sz w:val="16"/>
                <w:szCs w:val="16"/>
              </w:rPr>
              <w:t xml:space="preserve">RECORDS PER CYCLE</w:t>
            </w:r>
          </w:p>
        </w:tc>
        <w:tc>
          <w:tcPr>
            <w:tcW w:w="2919" w:type="dxa"/>
            <w:tcMar>
              <w:top w:w="70" w:type="dxa"/>
              <w:left w:w="100" w:type="dxa"/>
              <w:bottom w:w="70" w:type="dxa"/>
              <w:right w:w="100" w:type="dxa"/>
            </w:tcMar>
            <w:vAlign w:val="center"/>
          </w:tcPr>
          <w:p>
            <w:pPr>
              <w:spacing w:before="0" w:after="0"/>
            </w:pPr>
            <w:r>
              <w:rPr>
                <w:color w:val="0B1F3A"/>
                <w:sz w:val="20"/>
                <w:szCs w:val="20"/>
              </w:rPr>
              <w:t xml:space="preserve">40</w:t>
            </w:r>
          </w:p>
        </w:tc>
        <w:tc>
          <w:tcPr>
            <w:tcW w:w="1900" w:type="dxa"/>
            <w:shd w:val="clear" w:color="auto" w:fill="F6F4EE"/>
            <w:tcMar>
              <w:top w:w="70" w:type="dxa"/>
              <w:left w:w="100" w:type="dxa"/>
              <w:bottom w:w="70" w:type="dxa"/>
              <w:right w:w="100" w:type="dxa"/>
            </w:tcMar>
            <w:vAlign w:val="center"/>
          </w:tcPr>
          <w:p>
            <w:pPr>
              <w:spacing w:before="0" w:after="0"/>
            </w:pPr>
            <w:r>
              <w:rPr>
                <w:b/>
                <w:color w:val="44506A"/>
                <w:spacing w:val="20"/>
                <w:sz w:val="16"/>
                <w:szCs w:val="16"/>
              </w:rPr>
              <w:t xml:space="preserve">DURATION</w:t>
            </w:r>
          </w:p>
        </w:tc>
        <w:tc>
          <w:tcPr>
            <w:tcW w:w="2919" w:type="dxa"/>
            <w:tcMar>
              <w:top w:w="70" w:type="dxa"/>
              <w:left w:w="100" w:type="dxa"/>
              <w:bottom w:w="70" w:type="dxa"/>
              <w:right w:w="100" w:type="dxa"/>
            </w:tcMar>
            <w:vAlign w:val="center"/>
          </w:tcPr>
          <w:p>
            <w:pPr>
              <w:spacing w:before="0" w:after="0"/>
            </w:pPr>
            <w:r>
              <w:rPr>
                <w:color w:val="0B1F3A"/>
                <w:sz w:val="20"/>
                <w:szCs w:val="20"/>
              </w:rPr>
              <w:t xml:space="preserve">14 weeks to the first results, then re-audit</w:t>
            </w:r>
          </w:p>
        </w:tc>
      </w:tr>
      <w:tr>
        <w:trPr>
          <w:cantSplit/>
        </w:trPr>
        <w:tc>
          <w:tcPr>
            <w:tcW w:w="1900" w:type="dxa"/>
            <w:shd w:val="clear" w:color="auto" w:fill="F6F4EE"/>
            <w:tcMar>
              <w:top w:w="70" w:type="dxa"/>
              <w:left w:w="100" w:type="dxa"/>
              <w:bottom w:w="70" w:type="dxa"/>
              <w:right w:w="100" w:type="dxa"/>
            </w:tcMar>
            <w:vAlign w:val="center"/>
          </w:tcPr>
          <w:p>
            <w:pPr>
              <w:spacing w:before="0" w:after="0"/>
            </w:pPr>
            <w:r>
              <w:rPr>
                <w:b/>
                <w:color w:val="44506A"/>
                <w:spacing w:val="20"/>
                <w:sz w:val="16"/>
                <w:szCs w:val="16"/>
              </w:rPr>
              <w:t xml:space="preserve">TARGET</w:t>
            </w:r>
          </w:p>
        </w:tc>
        <w:tc>
          <w:tcPr>
            <w:tcW w:w="2919" w:type="dxa"/>
            <w:tcMar>
              <w:top w:w="70" w:type="dxa"/>
              <w:left w:w="100" w:type="dxa"/>
              <w:bottom w:w="70" w:type="dxa"/>
              <w:right w:w="100" w:type="dxa"/>
            </w:tcMar>
            <w:vAlign w:val="center"/>
          </w:tcPr>
          <w:p>
            <w:pPr>
              <w:spacing w:before="0" w:after="0"/>
            </w:pPr>
            <w:r>
              <w:rPr>
                <w:color w:val="0B1F3A"/>
                <w:sz w:val="20"/>
                <w:szCs w:val="20"/>
              </w:rPr>
              <w:t xml:space="preserve">≥90%</w:t>
            </w:r>
          </w:p>
        </w:tc>
        <w:tc>
          <w:tcPr>
            <w:tcW w:w="1900" w:type="dxa"/>
            <w:shd w:val="clear" w:color="auto" w:fill="F6F4EE"/>
            <w:tcMar>
              <w:top w:w="70" w:type="dxa"/>
              <w:left w:w="100" w:type="dxa"/>
              <w:bottom w:w="70" w:type="dxa"/>
              <w:right w:w="100" w:type="dxa"/>
            </w:tcMar>
            <w:vAlign w:val="center"/>
          </w:tcPr>
          <w:p>
            <w:pPr>
              <w:spacing w:before="0" w:after="0"/>
            </w:pPr>
            <w:r>
              <w:rPr>
                <w:b/>
                <w:color w:val="44506A"/>
                <w:spacing w:val="20"/>
                <w:sz w:val="16"/>
                <w:szCs w:val="16"/>
              </w:rPr>
              <w:t xml:space="preserve">REFERENCE</w:t>
            </w:r>
          </w:p>
        </w:tc>
        <w:tc>
          <w:tcPr>
            <w:tcW w:w="2919" w:type="dxa"/>
            <w:tcMar>
              <w:top w:w="70" w:type="dxa"/>
              <w:left w:w="100" w:type="dxa"/>
              <w:bottom w:w="70" w:type="dxa"/>
              <w:right w:w="100" w:type="dxa"/>
            </w:tcMar>
            <w:vAlign w:val="center"/>
          </w:tcPr>
          <w:p>
            <w:pPr>
              <w:spacing w:before="0" w:after="0"/>
            </w:pPr>
            <w:r>
              <w:rPr>
                <w:color w:val="0B1F3A"/>
                <w:sz w:val="20"/>
                <w:szCs w:val="20"/>
              </w:rPr>
              <w:t xml:space="preserve">NNA-074</w:t>
            </w:r>
          </w:p>
        </w:tc>
      </w:tr>
    </w:tbl>
    <w:p>
      <w:pPr>
        <w:spacing w:before="0" w:after="60"/>
      </w:pPr>
    </w:p>
    <w:p>
      <w:pPr>
        <w:pStyle w:val="Heading1"/>
        <w:keepNext/>
        <w:spacing w:before="0" w:after="120"/>
      </w:pPr>
      <w:r>
        <w:rPr>
          <w:b/>
          <w:color w:val="B8924A"/>
        </w:rPr>
        <w:t xml:space="preserve">1</w:t>
      </w:r>
      <w:r>
        <w:tab/>
      </w:r>
      <w:r>
        <w:t xml:space="preserve">Why this audit</w:t>
      </w:r>
    </w:p>
    <w:p>
      <w:pPr>
        <w:spacing w:before="0" w:after="120" w:line="276" w:lineRule="auto"/>
      </w:pPr>
      <w:r>
        <w:t xml:space="preserve">NG253 (2025, updated 2026) fixes time zero as the first ED NEWS2 score. Library sepsis audits used older bundles and screening tools [3007][2618]; none measures the 1-hour limit from the NEWS2 time stamp.</w:t>
      </w:r>
    </w:p>
    <w:p>
      <w:pPr>
        <w:pStyle w:val="Heading1"/>
        <w:keepNext/>
        <w:spacing w:before="0" w:after="120"/>
      </w:pPr>
      <w:r>
        <w:rPr>
          <w:b/>
          <w:color w:val="B8924A"/>
        </w:rPr>
        <w:t xml:space="preserve">2</w:t>
      </w:r>
      <w:r>
        <w:tab/>
      </w:r>
      <w:r>
        <w:t xml:space="preserve">The standard</w:t>
      </w:r>
    </w:p>
    <w:p>
      <w:pPr>
        <w:pBdr>
          <w:left w:val="single" w:sz="18" w:space="12" w:color="B8924A"/>
        </w:pBdr>
        <w:spacing w:before="0" w:after="120" w:line="288" w:lineRule="auto"/>
        <w:ind w:left="240"/>
      </w:pPr>
      <w:r>
        <w:rPr>
          <w:rFonts w:ascii="Georgia" w:hAnsi="Georgia" w:cs="Georgia"/>
          <w:i/>
          <w:color w:val="0B1F3A"/>
          <w:sz w:val="24"/>
          <w:szCs w:val="24"/>
        </w:rPr>
        <w:t xml:space="preserve">“Give people aged 16 or over who are at high risk of severe illness or death from sepsis broad-spectrum intravenous antibiotic treatment, within 1 hour of calculating the person's NEWS2 score on initial assessment in the emergency department or on ward deterioration. Only give antibiotics if they have not been given before for this episode of sepsis (see recommendations 1.7.7 and 1.7.8 on managing the condition while awaiting transfer).”</w:t>
      </w:r>
    </w:p>
    <w:p>
      <w:pPr>
        <w:spacing w:before="0" w:after="0"/>
        <w:ind w:left="240"/>
      </w:pPr>
      <w:r>
        <w:rPr>
          <w:color w:val="44506A"/>
          <w:sz w:val="19"/>
          <w:szCs w:val="19"/>
        </w:rPr>
        <w:t xml:space="preserve">NICE guideline on suspected sepsis in people aged 16 or over (NG253)</w:t>
      </w:r>
    </w:p>
    <w:p>
      <w:pPr>
        <w:spacing w:before="0" w:after="120"/>
        <w:ind w:left="240"/>
      </w:pPr>
      <w:hyperlink r:id="rIdL1">
        <w:r>
          <w:rPr>
            <w:color w:val="1F4E8C"/>
            <w:sz w:val="18"/>
            <w:szCs w:val="18"/>
            <w:u w:val="single"/>
          </w:rPr>
          <w:t xml:space="preserve">https://www.nice.org.uk/guidance/ng253/chapter/Managing-suspected-sepsis</w:t>
        </w:r>
      </w:hyperlink>
    </w:p>
    <w:p>
      <w:pPr>
        <w:spacing w:before="0" w:after="160"/>
        <w:ind w:left="240"/>
      </w:pPr>
      <w:r>
        <w:rPr>
          <w:color w:val="44506A"/>
          <w:sz w:val="15"/>
          <w:szCs w:val="15"/>
        </w:rPr>
        <w:t xml:space="preserve">© NICE 2026 NG253 rec 1.8.3 (November 2025, updated September 2026). Available from https://www.nice.org.uk/guidance/ng253/chapter/Managing-suspected-sepsis. All rights reserved. Subject to Notice of rights. NICE guidance is prepared for the National Health Service in England. All NICE guidance is subject to regular review and may be updated or withdrawn. NICE accepts no responsibility for the use of its content in this product.</w:t>
      </w:r>
    </w:p>
    <w:p>
      <w:pPr>
        <w:pStyle w:val="Heading1"/>
        <w:keepNext/>
        <w:spacing w:before="0" w:after="120"/>
      </w:pPr>
      <w:r>
        <w:rPr>
          <w:b/>
          <w:color w:val="B8924A"/>
        </w:rPr>
        <w:t xml:space="preserve">3</w:t>
      </w:r>
      <w:r>
        <w:tab/>
      </w:r>
      <w:r>
        <w:t xml:space="preserve">Method</w:t>
      </w:r>
    </w:p>
    <w:p>
      <w:pPr>
        <w:keepNext/>
        <w:spacing w:before="120" w:after="40"/>
      </w:pPr>
      <w:r>
        <w:rPr>
          <w:b/>
          <w:caps/>
          <w:color w:val="B8924A"/>
          <w:spacing w:val="20"/>
          <w:sz w:val="17"/>
          <w:szCs w:val="17"/>
        </w:rPr>
        <w:t xml:space="preserve">Who is included</w:t>
      </w:r>
    </w:p>
    <w:p>
      <w:pPr>
        <w:spacing w:before="0" w:after="120" w:line="276" w:lineRule="auto"/>
      </w:pPr>
      <w:r>
        <w:t xml:space="preserve">Adults 16 or over with suspected or confirmed infection and a first ED NEWS2 of 7 or more. Exclude end-of-life care plans and patients who left before treatment.</w:t>
      </w:r>
    </w:p>
    <w:p>
      <w:pPr>
        <w:keepNext/>
        <w:spacing w:before="120" w:after="40"/>
      </w:pPr>
      <w:r>
        <w:rPr>
          <w:b/>
          <w:caps/>
          <w:color w:val="B8924A"/>
          <w:spacing w:val="20"/>
          <w:sz w:val="17"/>
          <w:szCs w:val="17"/>
        </w:rPr>
        <w:t xml:space="preserve">Sample</w:t>
      </w:r>
    </w:p>
    <w:p>
      <w:pPr>
        <w:spacing w:before="0" w:after="120" w:line="276" w:lineRule="auto"/>
      </w:pPr>
      <w:r>
        <w:t xml:space="preserve">40 consecutive eligible ED attendances over the last 2 months.</w:t>
      </w:r>
    </w:p>
    <w:p>
      <w:pPr>
        <w:keepNext/>
        <w:spacing w:before="120" w:after="40"/>
      </w:pPr>
      <w:r>
        <w:rPr>
          <w:b/>
          <w:caps/>
          <w:color w:val="B8924A"/>
          <w:spacing w:val="20"/>
          <w:sz w:val="17"/>
          <w:szCs w:val="17"/>
        </w:rPr>
        <w:t xml:space="preserve">Where the data come from</w:t>
      </w:r>
    </w:p>
    <w:p>
      <w:pPr>
        <w:spacing w:before="0" w:after="120" w:line="276" w:lineRule="auto"/>
      </w:pPr>
      <w:r>
        <w:t xml:space="preserve">ED system or e-observations for first NEWS2 time; EPMA or drug chart for antibiotic administration time; ambulance record for pre-hospital antibiotics.</w:t>
      </w:r>
    </w:p>
    <w:p>
      <w:pPr>
        <w:keepNext/>
        <w:spacing w:before="120" w:after="40"/>
      </w:pPr>
      <w:r>
        <w:rPr>
          <w:b/>
          <w:caps/>
          <w:color w:val="B8924A"/>
          <w:spacing w:val="20"/>
          <w:sz w:val="17"/>
          <w:szCs w:val="17"/>
        </w:rPr>
        <w:t xml:space="preserve">What counts as a pass</w:t>
      </w:r>
    </w:p>
    <w:p>
      <w:pPr>
        <w:spacing w:before="0" w:after="120" w:line="276" w:lineRule="auto"/>
      </w:pPr>
      <w:r>
        <w:t xml:space="preserve">First IV antibiotic dose recorded as given on the drug chart within 60 minutes of the first ED NEWS2 time; or pre-hospital antibiotics already given for this episode.</w:t>
      </w:r>
    </w:p>
    <w:p>
      <w:pPr>
        <w:pStyle w:val="Heading1"/>
        <w:keepNext/>
        <w:spacing w:before="0" w:after="120"/>
      </w:pPr>
      <w:r>
        <w:rPr>
          <w:b/>
          <w:color w:val="B8924A"/>
        </w:rPr>
        <w:t xml:space="preserve">4</w:t>
      </w:r>
      <w:r>
        <w:tab/>
      </w:r>
      <w:r>
        <w:t xml:space="preserve">Data collection sheet</w:t>
      </w:r>
    </w:p>
    <w:p>
      <w:pPr>
        <w:spacing w:before="0" w:after="120" w:line="276" w:lineRule="auto"/>
      </w:pPr>
      <w:r>
        <w:rPr>
          <w:color w:val="44506A"/>
          <w:sz w:val="19"/>
          <w:szCs w:val="19"/>
        </w:rPr>
        <w:t xml:space="preserve">One row per patient, one column per question. Audit codes only: no names, NHS numbers or dates of birth.</w:t>
      </w:r>
    </w:p>
    <w:tbl>
      <w:tblPr>
        <w:tblW w:w="963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0" w:lastColumn="0" w:noHBand="1" w:noVBand="1"/>
      </w:tblPr>
      <w:tblGrid>
        <w:gridCol w:w="380"/>
        <w:gridCol w:w="1157"/>
        <w:gridCol w:w="1157"/>
        <w:gridCol w:w="1157"/>
        <w:gridCol w:w="1157"/>
        <w:gridCol w:w="1157"/>
        <w:gridCol w:w="1157"/>
        <w:gridCol w:w="1157"/>
        <w:gridCol w:w="1157"/>
      </w:tblGrid>
      <w:tr>
        <w:trPr>
          <w:tblHeader/>
          <w:cantSplit/>
        </w:trPr>
        <w:tc>
          <w:tcPr>
            <w:tcW w:w="380" w:type="dxa"/>
            <w:shd w:val="clear" w:color="auto" w:fill="EDEDED"/>
            <w:tcMar>
              <w:top w:w="30" w:type="dxa"/>
              <w:left w:w="100" w:type="dxa"/>
              <w:bottom w:w="30" w:type="dxa"/>
              <w:right w:w="100" w:type="dxa"/>
            </w:tcMar>
            <w:vAlign w:val="top"/>
          </w:tcPr>
          <w:p>
            <w:pPr>
              <w:spacing w:before="0" w:after="0"/>
            </w:pPr>
          </w:p>
        </w:tc>
        <w:tc>
          <w:tcPr>
            <w:tcW w:w="1157" w:type="dxa"/>
            <w:shd w:val="clear" w:color="auto" w:fill="EDEDED"/>
            <w:tcMar>
              <w:top w:w="30" w:type="dxa"/>
              <w:left w:w="100" w:type="dxa"/>
              <w:bottom w:w="30" w:type="dxa"/>
              <w:right w:w="100" w:type="dxa"/>
            </w:tcMar>
            <w:vAlign w:val="top"/>
          </w:tcPr>
          <w:p>
            <w:pPr>
              <w:spacing w:before="0" w:after="0"/>
              <w:jc w:val="center"/>
            </w:pPr>
            <w:r>
              <w:rPr>
                <w:color w:val="6B6B6B"/>
                <w:sz w:val="16"/>
                <w:szCs w:val="16"/>
              </w:rPr>
              <w:t xml:space="preserve">A</w:t>
            </w:r>
          </w:p>
        </w:tc>
        <w:tc>
          <w:tcPr>
            <w:tcW w:w="1157" w:type="dxa"/>
            <w:shd w:val="clear" w:color="auto" w:fill="EDEDED"/>
            <w:tcMar>
              <w:top w:w="30" w:type="dxa"/>
              <w:left w:w="100" w:type="dxa"/>
              <w:bottom w:w="30" w:type="dxa"/>
              <w:right w:w="100" w:type="dxa"/>
            </w:tcMar>
            <w:vAlign w:val="top"/>
          </w:tcPr>
          <w:p>
            <w:pPr>
              <w:spacing w:before="0" w:after="0"/>
              <w:jc w:val="center"/>
            </w:pPr>
            <w:r>
              <w:rPr>
                <w:color w:val="6B6B6B"/>
                <w:sz w:val="16"/>
                <w:szCs w:val="16"/>
              </w:rPr>
              <w:t xml:space="preserve">B</w:t>
            </w:r>
          </w:p>
        </w:tc>
        <w:tc>
          <w:tcPr>
            <w:tcW w:w="1157" w:type="dxa"/>
            <w:shd w:val="clear" w:color="auto" w:fill="EDEDED"/>
            <w:tcMar>
              <w:top w:w="30" w:type="dxa"/>
              <w:left w:w="100" w:type="dxa"/>
              <w:bottom w:w="30" w:type="dxa"/>
              <w:right w:w="100" w:type="dxa"/>
            </w:tcMar>
            <w:vAlign w:val="top"/>
          </w:tcPr>
          <w:p>
            <w:pPr>
              <w:spacing w:before="0" w:after="0"/>
              <w:jc w:val="center"/>
            </w:pPr>
            <w:r>
              <w:rPr>
                <w:color w:val="6B6B6B"/>
                <w:sz w:val="16"/>
                <w:szCs w:val="16"/>
              </w:rPr>
              <w:t xml:space="preserve">C</w:t>
            </w:r>
          </w:p>
        </w:tc>
        <w:tc>
          <w:tcPr>
            <w:tcW w:w="1157" w:type="dxa"/>
            <w:shd w:val="clear" w:color="auto" w:fill="EDEDED"/>
            <w:tcMar>
              <w:top w:w="30" w:type="dxa"/>
              <w:left w:w="100" w:type="dxa"/>
              <w:bottom w:w="30" w:type="dxa"/>
              <w:right w:w="100" w:type="dxa"/>
            </w:tcMar>
            <w:vAlign w:val="top"/>
          </w:tcPr>
          <w:p>
            <w:pPr>
              <w:spacing w:before="0" w:after="0"/>
              <w:jc w:val="center"/>
            </w:pPr>
            <w:r>
              <w:rPr>
                <w:color w:val="6B6B6B"/>
                <w:sz w:val="16"/>
                <w:szCs w:val="16"/>
              </w:rPr>
              <w:t xml:space="preserve">D</w:t>
            </w:r>
          </w:p>
        </w:tc>
        <w:tc>
          <w:tcPr>
            <w:tcW w:w="1157" w:type="dxa"/>
            <w:shd w:val="clear" w:color="auto" w:fill="EDEDED"/>
            <w:tcMar>
              <w:top w:w="30" w:type="dxa"/>
              <w:left w:w="100" w:type="dxa"/>
              <w:bottom w:w="30" w:type="dxa"/>
              <w:right w:w="100" w:type="dxa"/>
            </w:tcMar>
            <w:vAlign w:val="top"/>
          </w:tcPr>
          <w:p>
            <w:pPr>
              <w:spacing w:before="0" w:after="0"/>
              <w:jc w:val="center"/>
            </w:pPr>
            <w:r>
              <w:rPr>
                <w:color w:val="6B6B6B"/>
                <w:sz w:val="16"/>
                <w:szCs w:val="16"/>
              </w:rPr>
              <w:t xml:space="preserve">E</w:t>
            </w:r>
          </w:p>
        </w:tc>
        <w:tc>
          <w:tcPr>
            <w:tcW w:w="1157" w:type="dxa"/>
            <w:shd w:val="clear" w:color="auto" w:fill="EDEDED"/>
            <w:tcMar>
              <w:top w:w="30" w:type="dxa"/>
              <w:left w:w="100" w:type="dxa"/>
              <w:bottom w:w="30" w:type="dxa"/>
              <w:right w:w="100" w:type="dxa"/>
            </w:tcMar>
            <w:vAlign w:val="top"/>
          </w:tcPr>
          <w:p>
            <w:pPr>
              <w:spacing w:before="0" w:after="0"/>
              <w:jc w:val="center"/>
            </w:pPr>
            <w:r>
              <w:rPr>
                <w:color w:val="6B6B6B"/>
                <w:sz w:val="16"/>
                <w:szCs w:val="16"/>
              </w:rPr>
              <w:t xml:space="preserve">F</w:t>
            </w:r>
          </w:p>
        </w:tc>
        <w:tc>
          <w:tcPr>
            <w:tcW w:w="1157" w:type="dxa"/>
            <w:shd w:val="clear" w:color="auto" w:fill="EDEDED"/>
            <w:tcMar>
              <w:top w:w="30" w:type="dxa"/>
              <w:left w:w="100" w:type="dxa"/>
              <w:bottom w:w="30" w:type="dxa"/>
              <w:right w:w="100" w:type="dxa"/>
            </w:tcMar>
            <w:vAlign w:val="top"/>
          </w:tcPr>
          <w:p>
            <w:pPr>
              <w:spacing w:before="0" w:after="0"/>
              <w:jc w:val="center"/>
            </w:pPr>
            <w:r>
              <w:rPr>
                <w:color w:val="6B6B6B"/>
                <w:sz w:val="16"/>
                <w:szCs w:val="16"/>
              </w:rPr>
              <w:t xml:space="preserve">G</w:t>
            </w:r>
          </w:p>
        </w:tc>
        <w:tc>
          <w:tcPr>
            <w:tcW w:w="1157" w:type="dxa"/>
            <w:shd w:val="clear" w:color="auto" w:fill="EDEDED"/>
            <w:tcMar>
              <w:top w:w="30" w:type="dxa"/>
              <w:left w:w="100" w:type="dxa"/>
              <w:bottom w:w="30" w:type="dxa"/>
              <w:right w:w="100" w:type="dxa"/>
            </w:tcMar>
            <w:vAlign w:val="top"/>
          </w:tcPr>
          <w:p>
            <w:pPr>
              <w:spacing w:before="0" w:after="0"/>
              <w:jc w:val="center"/>
            </w:pPr>
            <w:r>
              <w:rPr>
                <w:color w:val="6B6B6B"/>
                <w:sz w:val="16"/>
                <w:szCs w:val="16"/>
              </w:rPr>
              <w:t xml:space="preserve">H</w:t>
            </w:r>
          </w:p>
        </w:tc>
      </w:tr>
      <w:tr>
        <w:trPr>
          <w:cantSplit/>
        </w:trPr>
        <w:tc>
          <w:tcPr>
            <w:tcW w:w="380" w:type="dxa"/>
            <w:shd w:val="clear" w:color="auto" w:fill="EDEDED"/>
            <w:tcMar>
              <w:top w:w="70" w:type="dxa"/>
              <w:left w:w="100" w:type="dxa"/>
              <w:bottom w:w="70" w:type="dxa"/>
              <w:right w:w="100" w:type="dxa"/>
            </w:tcMar>
            <w:vAlign w:val="top"/>
          </w:tcPr>
          <w:p>
            <w:pPr>
              <w:spacing w:before="0" w:after="0"/>
              <w:jc w:val="center"/>
            </w:pPr>
            <w:r>
              <w:rPr>
                <w:color w:val="6B6B6B"/>
                <w:sz w:val="16"/>
                <w:szCs w:val="16"/>
              </w:rPr>
              <w:t xml:space="preserve">1</w:t>
            </w:r>
          </w:p>
        </w:tc>
        <w:tc>
          <w:tcPr>
            <w:tcW w:w="1157" w:type="dxa"/>
            <w:shd w:val="clear" w:color="auto" w:fill="217346"/>
            <w:tcMar>
              <w:top w:w="70" w:type="dxa"/>
              <w:left w:w="100" w:type="dxa"/>
              <w:bottom w:w="70" w:type="dxa"/>
              <w:right w:w="100" w:type="dxa"/>
            </w:tcMar>
            <w:vAlign w:val="top"/>
          </w:tcPr>
          <w:p>
            <w:pPr>
              <w:spacing w:before="0" w:after="0"/>
            </w:pPr>
            <w:r>
              <w:rPr>
                <w:b/>
                <w:color w:val="FFFFFF"/>
                <w:sz w:val="17"/>
                <w:szCs w:val="17"/>
              </w:rPr>
              <w:t xml:space="preserve">Hospital number pseudonymised</w:t>
            </w:r>
          </w:p>
        </w:tc>
        <w:tc>
          <w:tcPr>
            <w:tcW w:w="1157" w:type="dxa"/>
            <w:shd w:val="clear" w:color="auto" w:fill="217346"/>
            <w:tcMar>
              <w:top w:w="70" w:type="dxa"/>
              <w:left w:w="100" w:type="dxa"/>
              <w:bottom w:w="70" w:type="dxa"/>
              <w:right w:w="100" w:type="dxa"/>
            </w:tcMar>
            <w:vAlign w:val="top"/>
          </w:tcPr>
          <w:p>
            <w:pPr>
              <w:spacing w:before="0" w:after="0"/>
            </w:pPr>
            <w:r>
              <w:rPr>
                <w:b/>
                <w:color w:val="FFFFFF"/>
                <w:sz w:val="17"/>
                <w:szCs w:val="17"/>
              </w:rPr>
              <w:t xml:space="preserve">Arrival datetime</w:t>
            </w:r>
          </w:p>
        </w:tc>
        <w:tc>
          <w:tcPr>
            <w:tcW w:w="1157" w:type="dxa"/>
            <w:shd w:val="clear" w:color="auto" w:fill="217346"/>
            <w:tcMar>
              <w:top w:w="70" w:type="dxa"/>
              <w:left w:w="100" w:type="dxa"/>
              <w:bottom w:w="70" w:type="dxa"/>
              <w:right w:w="100" w:type="dxa"/>
            </w:tcMar>
            <w:vAlign w:val="top"/>
          </w:tcPr>
          <w:p>
            <w:pPr>
              <w:spacing w:before="0" w:after="0"/>
            </w:pPr>
            <w:r>
              <w:rPr>
                <w:b/>
                <w:color w:val="FFFFFF"/>
                <w:sz w:val="17"/>
                <w:szCs w:val="17"/>
              </w:rPr>
              <w:t xml:space="preserve">First ed news2 datetime</w:t>
            </w:r>
          </w:p>
        </w:tc>
        <w:tc>
          <w:tcPr>
            <w:tcW w:w="1157" w:type="dxa"/>
            <w:shd w:val="clear" w:color="auto" w:fill="217346"/>
            <w:tcMar>
              <w:top w:w="70" w:type="dxa"/>
              <w:left w:w="100" w:type="dxa"/>
              <w:bottom w:w="70" w:type="dxa"/>
              <w:right w:w="100" w:type="dxa"/>
            </w:tcMar>
            <w:vAlign w:val="top"/>
          </w:tcPr>
          <w:p>
            <w:pPr>
              <w:spacing w:before="0" w:after="0"/>
            </w:pPr>
            <w:r>
              <w:rPr>
                <w:b/>
                <w:color w:val="FFFFFF"/>
                <w:sz w:val="17"/>
                <w:szCs w:val="17"/>
              </w:rPr>
              <w:t xml:space="preserve">First ed news2 score</w:t>
            </w:r>
          </w:p>
        </w:tc>
        <w:tc>
          <w:tcPr>
            <w:tcW w:w="1157" w:type="dxa"/>
            <w:shd w:val="clear" w:color="auto" w:fill="217346"/>
            <w:tcMar>
              <w:top w:w="70" w:type="dxa"/>
              <w:left w:w="100" w:type="dxa"/>
              <w:bottom w:w="70" w:type="dxa"/>
              <w:right w:w="100" w:type="dxa"/>
            </w:tcMar>
            <w:vAlign w:val="top"/>
          </w:tcPr>
          <w:p>
            <w:pPr>
              <w:spacing w:before="0" w:after="0"/>
            </w:pPr>
            <w:r>
              <w:rPr>
                <w:b/>
                <w:color w:val="FFFFFF"/>
                <w:sz w:val="17"/>
                <w:szCs w:val="17"/>
              </w:rPr>
              <w:t xml:space="preserve">Prehospital antibiotic given</w:t>
            </w:r>
          </w:p>
        </w:tc>
        <w:tc>
          <w:tcPr>
            <w:tcW w:w="1157" w:type="dxa"/>
            <w:shd w:val="clear" w:color="auto" w:fill="217346"/>
            <w:tcMar>
              <w:top w:w="70" w:type="dxa"/>
              <w:left w:w="100" w:type="dxa"/>
              <w:bottom w:w="70" w:type="dxa"/>
              <w:right w:w="100" w:type="dxa"/>
            </w:tcMar>
            <w:vAlign w:val="top"/>
          </w:tcPr>
          <w:p>
            <w:pPr>
              <w:spacing w:before="0" w:after="0"/>
            </w:pPr>
            <w:r>
              <w:rPr>
                <w:b/>
                <w:color w:val="FFFFFF"/>
                <w:sz w:val="17"/>
                <w:szCs w:val="17"/>
              </w:rPr>
              <w:t xml:space="preserve">Antibiotic administered datetime</w:t>
            </w:r>
          </w:p>
        </w:tc>
        <w:tc>
          <w:tcPr>
            <w:tcW w:w="1157" w:type="dxa"/>
            <w:shd w:val="clear" w:color="auto" w:fill="217346"/>
            <w:tcMar>
              <w:top w:w="70" w:type="dxa"/>
              <w:left w:w="100" w:type="dxa"/>
              <w:bottom w:w="70" w:type="dxa"/>
              <w:right w:w="100" w:type="dxa"/>
            </w:tcMar>
            <w:vAlign w:val="top"/>
          </w:tcPr>
          <w:p>
            <w:pPr>
              <w:spacing w:before="0" w:after="0"/>
            </w:pPr>
            <w:r>
              <w:rPr>
                <w:b/>
                <w:color w:val="FFFFFF"/>
                <w:sz w:val="17"/>
                <w:szCs w:val="17"/>
              </w:rPr>
              <w:t xml:space="preserve">Minutes news2 to antibiotic</w:t>
            </w:r>
          </w:p>
        </w:tc>
        <w:tc>
          <w:tcPr>
            <w:tcW w:w="1157" w:type="dxa"/>
            <w:shd w:val="clear" w:color="auto" w:fill="217346"/>
            <w:tcMar>
              <w:top w:w="70" w:type="dxa"/>
              <w:left w:w="100" w:type="dxa"/>
              <w:bottom w:w="70" w:type="dxa"/>
              <w:right w:w="100" w:type="dxa"/>
            </w:tcMar>
            <w:vAlign w:val="top"/>
          </w:tcPr>
          <w:p>
            <w:pPr>
              <w:spacing w:before="0" w:after="0"/>
            </w:pPr>
            <w:r>
              <w:rPr>
                <w:b/>
                <w:color w:val="FFFFFF"/>
                <w:sz w:val="17"/>
                <w:szCs w:val="17"/>
              </w:rPr>
              <w:t xml:space="preserve">Antibiotic within 60 min</w:t>
            </w:r>
          </w:p>
        </w:tc>
      </w:tr>
      <w:tr>
        <w:trPr>
          <w:cantSplit/>
        </w:trPr>
        <w:tc>
          <w:tcPr>
            <w:tcW w:w="380" w:type="dxa"/>
            <w:shd w:val="clear" w:color="auto" w:fill="EDEDED"/>
            <w:tcMar>
              <w:top w:w="70" w:type="dxa"/>
              <w:left w:w="100" w:type="dxa"/>
              <w:bottom w:w="70" w:type="dxa"/>
              <w:right w:w="100" w:type="dxa"/>
            </w:tcMar>
            <w:vAlign w:val="top"/>
          </w:tcPr>
          <w:p>
            <w:pPr>
              <w:spacing w:before="0" w:after="0"/>
              <w:jc w:val="center"/>
            </w:pPr>
            <w:r>
              <w:rPr>
                <w:color w:val="6B6B6B"/>
                <w:sz w:val="16"/>
                <w:szCs w:val="16"/>
              </w:rPr>
              <w:t xml:space="preserve">2</w:t>
            </w:r>
          </w:p>
        </w:tc>
        <w:tc>
          <w:tcPr>
            <w:tcW w:w="1157" w:type="dxa"/>
            <w:tcMar>
              <w:top w:w="70" w:type="dxa"/>
              <w:left w:w="100" w:type="dxa"/>
              <w:bottom w:w="70" w:type="dxa"/>
              <w:right w:w="100" w:type="dxa"/>
            </w:tcMar>
            <w:vAlign w:val="top"/>
          </w:tcPr>
          <w:p>
            <w:pPr>
              <w:spacing w:before="0" w:after="0"/>
            </w:pPr>
            <w:r>
              <w:rPr>
                <w:i/>
                <w:color w:val="8A8A8A"/>
                <w:sz w:val="16"/>
                <w:szCs w:val="16"/>
              </w:rPr>
              <w:t xml:space="preserve">P001</w:t>
            </w:r>
          </w:p>
        </w:tc>
        <w:tc>
          <w:tcPr>
            <w:tcW w:w="1157" w:type="dxa"/>
            <w:tcMar>
              <w:top w:w="70" w:type="dxa"/>
              <w:left w:w="100" w:type="dxa"/>
              <w:bottom w:w="70" w:type="dxa"/>
              <w:right w:w="100" w:type="dxa"/>
            </w:tcMar>
            <w:vAlign w:val="top"/>
          </w:tcPr>
          <w:p>
            <w:pPr>
              <w:spacing w:before="0" w:after="0"/>
            </w:pPr>
            <w:r>
              <w:rPr>
                <w:i/>
                <w:color w:val="8A8A8A"/>
                <w:sz w:val="16"/>
                <w:szCs w:val="16"/>
              </w:rPr>
              <w:t xml:space="preserve">dd/mm/yyyy hh:mm</w:t>
            </w:r>
          </w:p>
        </w:tc>
        <w:tc>
          <w:tcPr>
            <w:tcW w:w="1157" w:type="dxa"/>
            <w:tcMar>
              <w:top w:w="70" w:type="dxa"/>
              <w:left w:w="100" w:type="dxa"/>
              <w:bottom w:w="70" w:type="dxa"/>
              <w:right w:w="100" w:type="dxa"/>
            </w:tcMar>
            <w:vAlign w:val="top"/>
          </w:tcPr>
          <w:p>
            <w:pPr>
              <w:spacing w:before="0" w:after="0"/>
            </w:pPr>
            <w:r>
              <w:rPr>
                <w:i/>
                <w:color w:val="8A8A8A"/>
                <w:sz w:val="16"/>
                <w:szCs w:val="16"/>
              </w:rPr>
              <w:t xml:space="preserve">dd/mm/yyyy hh:mm</w:t>
            </w:r>
          </w:p>
        </w:tc>
        <w:tc>
          <w:tcPr>
            <w:tcW w:w="1157" w:type="dxa"/>
            <w:tcMar>
              <w:top w:w="70" w:type="dxa"/>
              <w:left w:w="100" w:type="dxa"/>
              <w:bottom w:w="70" w:type="dxa"/>
              <w:right w:w="100" w:type="dxa"/>
            </w:tcMar>
            <w:vAlign w:val="top"/>
          </w:tcPr>
          <w:p>
            <w:pPr>
              <w:spacing w:before="0" w:after="0"/>
            </w:pPr>
            <w:r>
              <w:rPr>
                <w:i/>
                <w:color w:val="8A8A8A"/>
                <w:sz w:val="16"/>
                <w:szCs w:val="16"/>
              </w:rPr>
              <w:t xml:space="preserve">123</w:t>
            </w:r>
          </w:p>
        </w:tc>
        <w:tc>
          <w:tcPr>
            <w:tcW w:w="1157" w:type="dxa"/>
            <w:tcMar>
              <w:top w:w="70" w:type="dxa"/>
              <w:left w:w="100" w:type="dxa"/>
              <w:bottom w:w="70" w:type="dxa"/>
              <w:right w:w="100" w:type="dxa"/>
            </w:tcMar>
            <w:vAlign w:val="top"/>
          </w:tcPr>
          <w:p>
            <w:pPr>
              <w:spacing w:before="0" w:after="0"/>
            </w:pPr>
            <w:r>
              <w:rPr>
                <w:i/>
                <w:color w:val="8A8A8A"/>
                <w:sz w:val="16"/>
                <w:szCs w:val="16"/>
              </w:rPr>
              <w:t xml:space="preserve">▾ yes / no</w:t>
            </w:r>
          </w:p>
        </w:tc>
        <w:tc>
          <w:tcPr>
            <w:tcW w:w="1157" w:type="dxa"/>
            <w:tcMar>
              <w:top w:w="70" w:type="dxa"/>
              <w:left w:w="100" w:type="dxa"/>
              <w:bottom w:w="70" w:type="dxa"/>
              <w:right w:w="100" w:type="dxa"/>
            </w:tcMar>
            <w:vAlign w:val="top"/>
          </w:tcPr>
          <w:p>
            <w:pPr>
              <w:spacing w:before="0" w:after="0"/>
            </w:pPr>
            <w:r>
              <w:rPr>
                <w:i/>
                <w:color w:val="8A8A8A"/>
                <w:sz w:val="16"/>
                <w:szCs w:val="16"/>
              </w:rPr>
              <w:t xml:space="preserve">dd/mm/yyyy hh:mm</w:t>
            </w:r>
          </w:p>
        </w:tc>
        <w:tc>
          <w:tcPr>
            <w:tcW w:w="1157" w:type="dxa"/>
            <w:tcMar>
              <w:top w:w="70" w:type="dxa"/>
              <w:left w:w="100" w:type="dxa"/>
              <w:bottom w:w="70" w:type="dxa"/>
              <w:right w:w="100" w:type="dxa"/>
            </w:tcMar>
            <w:vAlign w:val="top"/>
          </w:tcPr>
          <w:p>
            <w:pPr>
              <w:spacing w:before="0" w:after="0"/>
            </w:pPr>
            <w:r>
              <w:rPr>
                <w:i/>
                <w:color w:val="8A8A8A"/>
                <w:sz w:val="16"/>
                <w:szCs w:val="16"/>
              </w:rPr>
              <w:t xml:space="preserve">123</w:t>
            </w:r>
          </w:p>
        </w:tc>
        <w:tc>
          <w:tcPr>
            <w:tcW w:w="1157" w:type="dxa"/>
            <w:tcMar>
              <w:top w:w="70" w:type="dxa"/>
              <w:left w:w="100" w:type="dxa"/>
              <w:bottom w:w="70" w:type="dxa"/>
              <w:right w:w="100" w:type="dxa"/>
            </w:tcMar>
            <w:vAlign w:val="top"/>
          </w:tcPr>
          <w:p>
            <w:pPr>
              <w:spacing w:before="0" w:after="0"/>
            </w:pPr>
            <w:r>
              <w:rPr>
                <w:i/>
                <w:color w:val="8A8A8A"/>
                <w:sz w:val="16"/>
                <w:szCs w:val="16"/>
              </w:rPr>
              <w:t xml:space="preserve">▾ yes / no</w:t>
            </w:r>
          </w:p>
        </w:tc>
      </w:tr>
      <w:tr>
        <w:trPr>
          <w:cantSplit/>
        </w:trPr>
        <w:tc>
          <w:tcPr>
            <w:tcW w:w="380" w:type="dxa"/>
            <w:shd w:val="clear" w:color="auto" w:fill="EDEDED"/>
            <w:tcMar>
              <w:top w:w="70" w:type="dxa"/>
              <w:left w:w="100" w:type="dxa"/>
              <w:bottom w:w="70" w:type="dxa"/>
              <w:right w:w="100" w:type="dxa"/>
            </w:tcMar>
            <w:vAlign w:val="top"/>
          </w:tcPr>
          <w:p>
            <w:pPr>
              <w:spacing w:before="0" w:after="0"/>
              <w:jc w:val="center"/>
            </w:pPr>
            <w:r>
              <w:rPr>
                <w:color w:val="6B6B6B"/>
                <w:sz w:val="16"/>
                <w:szCs w:val="16"/>
              </w:rPr>
              <w:t xml:space="preserve">3</w:t>
            </w: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r>
      <w:tr>
        <w:trPr>
          <w:cantSplit/>
        </w:trPr>
        <w:tc>
          <w:tcPr>
            <w:tcW w:w="380" w:type="dxa"/>
            <w:shd w:val="clear" w:color="auto" w:fill="EDEDED"/>
            <w:tcMar>
              <w:top w:w="70" w:type="dxa"/>
              <w:left w:w="100" w:type="dxa"/>
              <w:bottom w:w="70" w:type="dxa"/>
              <w:right w:w="100" w:type="dxa"/>
            </w:tcMar>
            <w:vAlign w:val="top"/>
          </w:tcPr>
          <w:p>
            <w:pPr>
              <w:spacing w:before="0" w:after="0"/>
              <w:jc w:val="center"/>
            </w:pPr>
            <w:r>
              <w:rPr>
                <w:color w:val="6B6B6B"/>
                <w:sz w:val="16"/>
                <w:szCs w:val="16"/>
              </w:rPr>
              <w:t xml:space="preserve">4</w:t>
            </w: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r>
      <w:tr>
        <w:trPr>
          <w:cantSplit/>
        </w:trPr>
        <w:tc>
          <w:tcPr>
            <w:tcW w:w="380" w:type="dxa"/>
            <w:shd w:val="clear" w:color="auto" w:fill="EDEDED"/>
            <w:tcMar>
              <w:top w:w="70" w:type="dxa"/>
              <w:left w:w="100" w:type="dxa"/>
              <w:bottom w:w="70" w:type="dxa"/>
              <w:right w:w="100" w:type="dxa"/>
            </w:tcMar>
            <w:vAlign w:val="top"/>
          </w:tcPr>
          <w:p>
            <w:pPr>
              <w:spacing w:before="0" w:after="0"/>
              <w:jc w:val="center"/>
            </w:pPr>
            <w:r>
              <w:rPr>
                <w:color w:val="6B6B6B"/>
                <w:sz w:val="16"/>
                <w:szCs w:val="16"/>
              </w:rPr>
              <w:t xml:space="preserve">5</w:t>
            </w: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c>
          <w:tcPr>
            <w:tcW w:w="1157" w:type="dxa"/>
            <w:tcMar>
              <w:top w:w="70" w:type="dxa"/>
              <w:left w:w="100" w:type="dxa"/>
              <w:bottom w:w="70" w:type="dxa"/>
              <w:right w:w="100" w:type="dxa"/>
            </w:tcMar>
            <w:vAlign w:val="top"/>
          </w:tcPr>
          <w:p>
            <w:pPr>
              <w:spacing w:before="0" w:after="0"/>
            </w:pPr>
          </w:p>
        </w:tc>
      </w:tr>
    </w:tbl>
    <w:p>
      <w:pPr>
        <w:spacing w:before="0" w:after="60"/>
      </w:pPr>
    </w:p>
    <w:p>
      <w:pPr>
        <w:spacing w:before="0" w:after="120" w:line="276" w:lineRule="auto"/>
      </w:pPr>
      <w:r>
        <w:rPr>
          <w:color w:val="44506A"/>
          <w:sz w:val="19"/>
          <w:szCs w:val="19"/>
        </w:rPr>
        <w:t xml:space="preserve">Further columns: Reason for delay (no delay / not recognised as sepsis / no IV access …).</w:t>
      </w:r>
    </w:p>
    <w:p>
      <w:pPr>
        <w:keepNext/>
        <w:spacing w:before="120" w:after="40"/>
      </w:pPr>
      <w:r>
        <w:rPr>
          <w:b/>
          <w:caps/>
          <w:color w:val="B8924A"/>
          <w:spacing w:val="20"/>
          <w:sz w:val="17"/>
          <w:szCs w:val="17"/>
        </w:rPr>
        <w:t xml:space="preserve">Column notes</w:t>
      </w:r>
    </w:p>
    <w:p>
      <w:pPr>
        <w:spacing w:before="0" w:after="80" w:line="264" w:lineRule="auto"/>
        <w:ind w:left="360" w:hanging="360"/>
      </w:pPr>
      <w:r>
        <w:rPr>
          <w:b/>
          <w:color w:val="B8924A"/>
        </w:rPr>
        <w:t xml:space="preserve">•</w:t>
      </w:r>
      <w:r>
        <w:t xml:space="preserve">	Hospital number pseudonymised: Local audit code only; key kept on a Trust drive</w:t>
      </w:r>
    </w:p>
    <w:p>
      <w:pPr>
        <w:spacing w:before="0" w:after="80" w:line="264" w:lineRule="auto"/>
        <w:ind w:left="360" w:hanging="360"/>
      </w:pPr>
      <w:r>
        <w:rPr>
          <w:b/>
          <w:color w:val="B8924A"/>
        </w:rPr>
        <w:t xml:space="preserve">•</w:t>
      </w:r>
      <w:r>
        <w:t xml:space="preserve">	Antibiotic administered datetime: Time given, not time prescribed</w:t>
      </w:r>
    </w:p>
    <w:p>
      <w:pPr>
        <w:spacing w:before="0" w:after="80" w:line="264" w:lineRule="auto"/>
        <w:ind w:left="360" w:hanging="360"/>
      </w:pPr>
      <w:r>
        <w:rPr>
          <w:b/>
          <w:color w:val="B8924A"/>
        </w:rPr>
        <w:t xml:space="preserve">•</w:t>
      </w:r>
      <w:r>
        <w:t xml:space="preserve">	Antibiotic within 60 min: Pass criterion</w:t>
      </w:r>
    </w:p>
    <w:p>
      <w:pPr>
        <w:spacing w:before="0" w:after="120" w:line="276" w:lineRule="auto"/>
      </w:pPr>
      <w:r>
        <w:rPr>
          <w:color w:val="44506A"/>
          <w:sz w:val="19"/>
          <w:szCs w:val="19"/>
        </w:rPr>
        <w:t xml:space="preserve">The Ai4Qi Excel data sheet has these columns with drop-down lists and calculates the results automatically.</w:t>
      </w:r>
    </w:p>
    <w:p>
      <w:pPr>
        <w:pStyle w:val="Heading1"/>
        <w:keepNext/>
        <w:spacing w:before="0" w:after="120"/>
      </w:pPr>
      <w:r>
        <w:rPr>
          <w:b/>
          <w:color w:val="B8924A"/>
        </w:rPr>
        <w:t xml:space="preserve">5</w:t>
      </w:r>
      <w:r>
        <w:tab/>
      </w:r>
      <w:r>
        <w:t xml:space="preserve">Timeline</w:t>
      </w:r>
    </w:p>
    <w:tbl>
      <w:tblPr>
        <w:tblW w:w="9638" w:type="dxa"/>
        <w:tblBorders>
          <w:top w:val="single" w:sz="4" w:space="0" w:color="E4E6EB"/>
          <w:left w:val="nil" w:sz="4" w:space="0" w:color="E4E6EB"/>
          <w:bottom w:val="single" w:sz="4" w:space="0" w:color="E4E6EB"/>
          <w:right w:val="nil" w:sz="4" w:space="0" w:color="E4E6EB"/>
          <w:insideH w:val="single" w:sz="4" w:space="0" w:color="E4E6EB"/>
          <w:insideV w:val="nil" w:sz="4" w:space="0" w:color="E4E6EB"/>
        </w:tblBorders>
        <w:tblLayout w:type="fixed"/>
        <w:tblLook w:val="04A0" w:firstRow="1" w:lastRow="0" w:firstColumn="0" w:lastColumn="0" w:noHBand="1" w:noVBand="1"/>
      </w:tblPr>
      <w:tblGrid>
        <w:gridCol w:w="1400"/>
        <w:gridCol w:w="2300"/>
        <w:gridCol w:w="3538"/>
        <w:gridCol w:w="2400"/>
      </w:tblGrid>
      <w:tr>
        <w:trPr>
          <w:tblHeader/>
          <w:cantSplit/>
        </w:trPr>
        <w:tc>
          <w:tcPr>
            <w:tcW w:w="1400" w:type="dxa"/>
            <w:tcMar>
              <w:top w:w="70" w:type="dxa"/>
              <w:left w:w="100" w:type="dxa"/>
              <w:bottom w:w="70" w:type="dxa"/>
              <w:right w:w="100" w:type="dxa"/>
            </w:tcMar>
            <w:vAlign w:val="top"/>
          </w:tcPr>
          <w:p>
            <w:pPr>
              <w:spacing w:before="0" w:after="0"/>
            </w:pPr>
            <w:r>
              <w:rPr>
                <w:b/>
                <w:color w:val="44506A"/>
                <w:spacing w:val="20"/>
                <w:sz w:val="16"/>
                <w:szCs w:val="16"/>
              </w:rPr>
              <w:t xml:space="preserve">WEEKS</w:t>
            </w:r>
          </w:p>
        </w:tc>
        <w:tc>
          <w:tcPr>
            <w:tcW w:w="2300" w:type="dxa"/>
            <w:tcMar>
              <w:top w:w="70" w:type="dxa"/>
              <w:left w:w="100" w:type="dxa"/>
              <w:bottom w:w="70" w:type="dxa"/>
              <w:right w:w="100" w:type="dxa"/>
            </w:tcMar>
            <w:vAlign w:val="top"/>
          </w:tcPr>
          <w:p>
            <w:pPr>
              <w:spacing w:before="0" w:after="0"/>
            </w:pPr>
            <w:r>
              <w:rPr>
                <w:b/>
                <w:color w:val="44506A"/>
                <w:spacing w:val="20"/>
                <w:sz w:val="16"/>
                <w:szCs w:val="16"/>
              </w:rPr>
              <w:t xml:space="preserve">DATES</w:t>
            </w:r>
          </w:p>
        </w:tc>
        <w:tc>
          <w:tcPr>
            <w:tcW w:w="3538" w:type="dxa"/>
            <w:tcMar>
              <w:top w:w="70" w:type="dxa"/>
              <w:left w:w="100" w:type="dxa"/>
              <w:bottom w:w="70" w:type="dxa"/>
              <w:right w:w="100" w:type="dxa"/>
            </w:tcMar>
            <w:vAlign w:val="top"/>
          </w:tcPr>
          <w:p>
            <w:pPr>
              <w:spacing w:before="0" w:after="0"/>
            </w:pPr>
            <w:r>
              <w:rPr>
                <w:b/>
                <w:color w:val="44506A"/>
                <w:spacing w:val="20"/>
                <w:sz w:val="16"/>
                <w:szCs w:val="16"/>
              </w:rPr>
              <w:t xml:space="preserve">STEP</w:t>
            </w:r>
          </w:p>
        </w:tc>
        <w:tc>
          <w:tcPr>
            <w:tcW w:w="2400" w:type="dxa"/>
            <w:tcMar>
              <w:top w:w="70" w:type="dxa"/>
              <w:left w:w="100" w:type="dxa"/>
              <w:bottom w:w="70" w:type="dxa"/>
              <w:right w:w="100" w:type="dxa"/>
            </w:tcMar>
            <w:vAlign w:val="top"/>
          </w:tcPr>
          <w:p>
            <w:pPr>
              <w:spacing w:before="0" w:after="0"/>
            </w:pPr>
            <w:r>
              <w:rPr>
                <w:b/>
                <w:color w:val="44506A"/>
                <w:spacing w:val="20"/>
                <w:sz w:val="16"/>
                <w:szCs w:val="16"/>
              </w:rPr>
              <w:t xml:space="preserve">REMINDER</w:t>
            </w:r>
          </w:p>
        </w:tc>
      </w:tr>
      <w:tr>
        <w:trPr>
          <w:cantSplit/>
        </w:trPr>
        <w:tc>
          <w:tcPr>
            <w:tcW w:w="1400" w:type="dxa"/>
            <w:tcMar>
              <w:top w:w="70" w:type="dxa"/>
              <w:left w:w="100" w:type="dxa"/>
              <w:bottom w:w="70" w:type="dxa"/>
              <w:right w:w="100" w:type="dxa"/>
            </w:tcMar>
            <w:vAlign w:val="top"/>
          </w:tcPr>
          <w:p>
            <w:pPr>
              <w:spacing w:before="0" w:after="0"/>
            </w:pPr>
            <w:r>
              <w:rPr>
                <w:b/>
                <w:color w:val="B8924A"/>
                <w:sz w:val="20"/>
                <w:szCs w:val="20"/>
              </w:rPr>
              <w:t xml:space="preserve">Weeks 1–2</w:t>
            </w:r>
          </w:p>
        </w:tc>
        <w:tc>
          <w:tcPr>
            <w:tcW w:w="2300" w:type="dxa"/>
            <w:tcMar>
              <w:top w:w="70" w:type="dxa"/>
              <w:left w:w="100" w:type="dxa"/>
              <w:bottom w:w="70" w:type="dxa"/>
              <w:right w:w="100" w:type="dxa"/>
            </w:tcMar>
            <w:vAlign w:val="top"/>
          </w:tcPr>
          <w:p>
            <w:pPr>
              <w:spacing w:before="0" w:after="0"/>
            </w:pPr>
            <w:r>
              <w:rPr>
                <w:color w:val="0B1F3A"/>
                <w:sz w:val="20"/>
                <w:szCs w:val="20"/>
              </w:rPr>
              <w:t xml:space="preserve">5 Oct – 18 Oct</w:t>
            </w:r>
          </w:p>
        </w:tc>
        <w:tc>
          <w:tcPr>
            <w:tcW w:w="3538" w:type="dxa"/>
            <w:tcMar>
              <w:top w:w="70" w:type="dxa"/>
              <w:left w:w="100" w:type="dxa"/>
              <w:bottom w:w="70" w:type="dxa"/>
              <w:right w:w="100" w:type="dxa"/>
            </w:tcMar>
            <w:vAlign w:val="top"/>
          </w:tcPr>
          <w:p>
            <w:pPr>
              <w:spacing w:before="0" w:after="0"/>
            </w:pPr>
            <w:r>
              <w:rPr>
                <w:color w:val="0B1F3A"/>
                <w:sz w:val="20"/>
                <w:szCs w:val="20"/>
              </w:rPr>
              <w:t xml:space="preserve">Collect</w:t>
            </w:r>
          </w:p>
        </w:tc>
        <w:tc>
          <w:tcPr>
            <w:tcW w:w="2400" w:type="dxa"/>
            <w:tcMar>
              <w:top w:w="70" w:type="dxa"/>
              <w:left w:w="100" w:type="dxa"/>
              <w:bottom w:w="70" w:type="dxa"/>
              <w:right w:w="100" w:type="dxa"/>
            </w:tcMar>
            <w:vAlign w:val="top"/>
          </w:tcPr>
          <w:p>
            <w:pPr>
              <w:spacing w:before="0" w:after="0"/>
            </w:pPr>
            <w:r>
              <w:rPr>
                <w:color w:val="B8924A"/>
                <w:sz w:val="20"/>
                <w:szCs w:val="20"/>
              </w:rPr>
              <w:t xml:space="preserve">●</w:t>
            </w:r>
            <w:r>
              <w:rPr>
                <w:color w:val="44506A"/>
                <w:sz w:val="19"/>
                <w:szCs w:val="19"/>
              </w:rPr>
              <w:t xml:space="preserve">Email on 18 Oct</w:t>
            </w:r>
          </w:p>
        </w:tc>
      </w:tr>
      <w:tr>
        <w:trPr>
          <w:cantSplit/>
        </w:trPr>
        <w:tc>
          <w:tcPr>
            <w:tcW w:w="1400" w:type="dxa"/>
            <w:tcMar>
              <w:top w:w="70" w:type="dxa"/>
              <w:left w:w="100" w:type="dxa"/>
              <w:bottom w:w="70" w:type="dxa"/>
              <w:right w:w="100" w:type="dxa"/>
            </w:tcMar>
            <w:vAlign w:val="top"/>
          </w:tcPr>
          <w:p>
            <w:pPr>
              <w:spacing w:before="0" w:after="0"/>
            </w:pPr>
            <w:r>
              <w:rPr>
                <w:b/>
                <w:color w:val="B8924A"/>
                <w:sz w:val="20"/>
                <w:szCs w:val="20"/>
              </w:rPr>
              <w:t xml:space="preserve">Week 3</w:t>
            </w:r>
          </w:p>
        </w:tc>
        <w:tc>
          <w:tcPr>
            <w:tcW w:w="2300" w:type="dxa"/>
            <w:tcMar>
              <w:top w:w="70" w:type="dxa"/>
              <w:left w:w="100" w:type="dxa"/>
              <w:bottom w:w="70" w:type="dxa"/>
              <w:right w:w="100" w:type="dxa"/>
            </w:tcMar>
            <w:vAlign w:val="top"/>
          </w:tcPr>
          <w:p>
            <w:pPr>
              <w:spacing w:before="0" w:after="0"/>
            </w:pPr>
            <w:r>
              <w:rPr>
                <w:color w:val="0B1F3A"/>
                <w:sz w:val="20"/>
                <w:szCs w:val="20"/>
              </w:rPr>
              <w:t xml:space="preserve">19 Oct – 25 Oct</w:t>
            </w:r>
          </w:p>
        </w:tc>
        <w:tc>
          <w:tcPr>
            <w:tcW w:w="3538" w:type="dxa"/>
            <w:tcMar>
              <w:top w:w="70" w:type="dxa"/>
              <w:left w:w="100" w:type="dxa"/>
              <w:bottom w:w="70" w:type="dxa"/>
              <w:right w:w="100" w:type="dxa"/>
            </w:tcMar>
            <w:vAlign w:val="top"/>
          </w:tcPr>
          <w:p>
            <w:pPr>
              <w:spacing w:before="0" w:after="0"/>
            </w:pPr>
            <w:r>
              <w:rPr>
                <w:color w:val="0B1F3A"/>
                <w:sz w:val="20"/>
                <w:szCs w:val="20"/>
              </w:rPr>
              <w:t xml:space="preserve">Analyse/present</w:t>
            </w:r>
          </w:p>
        </w:tc>
        <w:tc>
          <w:tcPr>
            <w:tcW w:w="2400" w:type="dxa"/>
            <w:tcMar>
              <w:top w:w="70" w:type="dxa"/>
              <w:left w:w="100" w:type="dxa"/>
              <w:bottom w:w="70" w:type="dxa"/>
              <w:right w:w="100" w:type="dxa"/>
            </w:tcMar>
            <w:vAlign w:val="top"/>
          </w:tcPr>
          <w:p>
            <w:pPr>
              <w:spacing w:before="0" w:after="0"/>
            </w:pPr>
            <w:r>
              <w:rPr>
                <w:color w:val="B8924A"/>
                <w:sz w:val="20"/>
                <w:szCs w:val="20"/>
              </w:rPr>
              <w:t xml:space="preserve">●</w:t>
            </w:r>
            <w:r>
              <w:rPr>
                <w:color w:val="44506A"/>
                <w:sz w:val="19"/>
                <w:szCs w:val="19"/>
              </w:rPr>
              <w:t xml:space="preserve">Email on 25 Oct</w:t>
            </w:r>
          </w:p>
        </w:tc>
      </w:tr>
      <w:tr>
        <w:trPr>
          <w:cantSplit/>
        </w:trPr>
        <w:tc>
          <w:tcPr>
            <w:tcW w:w="1400" w:type="dxa"/>
            <w:tcMar>
              <w:top w:w="70" w:type="dxa"/>
              <w:left w:w="100" w:type="dxa"/>
              <w:bottom w:w="70" w:type="dxa"/>
              <w:right w:w="100" w:type="dxa"/>
            </w:tcMar>
            <w:vAlign w:val="top"/>
          </w:tcPr>
          <w:p>
            <w:pPr>
              <w:spacing w:before="0" w:after="0"/>
            </w:pPr>
            <w:r>
              <w:rPr>
                <w:b/>
                <w:color w:val="B8924A"/>
                <w:sz w:val="20"/>
                <w:szCs w:val="20"/>
              </w:rPr>
              <w:t xml:space="preserve">Week 4</w:t>
            </w:r>
          </w:p>
        </w:tc>
        <w:tc>
          <w:tcPr>
            <w:tcW w:w="2300" w:type="dxa"/>
            <w:tcMar>
              <w:top w:w="70" w:type="dxa"/>
              <w:left w:w="100" w:type="dxa"/>
              <w:bottom w:w="70" w:type="dxa"/>
              <w:right w:w="100" w:type="dxa"/>
            </w:tcMar>
            <w:vAlign w:val="top"/>
          </w:tcPr>
          <w:p>
            <w:pPr>
              <w:spacing w:before="0" w:after="0"/>
            </w:pPr>
            <w:r>
              <w:rPr>
                <w:color w:val="0B1F3A"/>
                <w:sz w:val="20"/>
                <w:szCs w:val="20"/>
              </w:rPr>
              <w:t xml:space="preserve">26 Oct – 1 Nov</w:t>
            </w:r>
          </w:p>
        </w:tc>
        <w:tc>
          <w:tcPr>
            <w:tcW w:w="3538" w:type="dxa"/>
            <w:tcMar>
              <w:top w:w="70" w:type="dxa"/>
              <w:left w:w="100" w:type="dxa"/>
              <w:bottom w:w="70" w:type="dxa"/>
              <w:right w:w="100" w:type="dxa"/>
            </w:tcMar>
            <w:vAlign w:val="top"/>
          </w:tcPr>
          <w:p>
            <w:pPr>
              <w:spacing w:before="0" w:after="0"/>
            </w:pPr>
            <w:r>
              <w:rPr>
                <w:color w:val="0B1F3A"/>
                <w:sz w:val="20"/>
                <w:szCs w:val="20"/>
              </w:rPr>
              <w:t xml:space="preserve">Change</w:t>
            </w:r>
          </w:p>
        </w:tc>
        <w:tc>
          <w:tcPr>
            <w:tcW w:w="2400" w:type="dxa"/>
            <w:tcMar>
              <w:top w:w="70" w:type="dxa"/>
              <w:left w:w="100" w:type="dxa"/>
              <w:bottom w:w="70" w:type="dxa"/>
              <w:right w:w="100" w:type="dxa"/>
            </w:tcMar>
            <w:vAlign w:val="top"/>
          </w:tcPr>
          <w:p>
            <w:pPr>
              <w:spacing w:before="0" w:after="0"/>
            </w:pPr>
            <w:r>
              <w:rPr>
                <w:color w:val="B8924A"/>
                <w:sz w:val="20"/>
                <w:szCs w:val="20"/>
              </w:rPr>
              <w:t xml:space="preserve">●</w:t>
            </w:r>
            <w:r>
              <w:rPr>
                <w:color w:val="44506A"/>
                <w:sz w:val="19"/>
                <w:szCs w:val="19"/>
              </w:rPr>
              <w:t xml:space="preserve">Email on 1 Nov</w:t>
            </w:r>
          </w:p>
        </w:tc>
      </w:tr>
      <w:tr>
        <w:trPr>
          <w:cantSplit/>
        </w:trPr>
        <w:tc>
          <w:tcPr>
            <w:tcW w:w="1400" w:type="dxa"/>
            <w:tcMar>
              <w:top w:w="70" w:type="dxa"/>
              <w:left w:w="100" w:type="dxa"/>
              <w:bottom w:w="70" w:type="dxa"/>
              <w:right w:w="100" w:type="dxa"/>
            </w:tcMar>
            <w:vAlign w:val="top"/>
          </w:tcPr>
          <w:p>
            <w:pPr>
              <w:spacing w:before="0" w:after="0"/>
            </w:pPr>
            <w:r>
              <w:rPr>
                <w:b/>
                <w:color w:val="B8924A"/>
                <w:sz w:val="20"/>
                <w:szCs w:val="20"/>
              </w:rPr>
              <w:t xml:space="preserve">Weeks 5–12</w:t>
            </w:r>
          </w:p>
        </w:tc>
        <w:tc>
          <w:tcPr>
            <w:tcW w:w="2300" w:type="dxa"/>
            <w:tcMar>
              <w:top w:w="70" w:type="dxa"/>
              <w:left w:w="100" w:type="dxa"/>
              <w:bottom w:w="70" w:type="dxa"/>
              <w:right w:w="100" w:type="dxa"/>
            </w:tcMar>
            <w:vAlign w:val="top"/>
          </w:tcPr>
          <w:p>
            <w:pPr>
              <w:spacing w:before="0" w:after="0"/>
            </w:pPr>
            <w:r>
              <w:rPr>
                <w:color w:val="0B1F3A"/>
                <w:sz w:val="20"/>
                <w:szCs w:val="20"/>
              </w:rPr>
              <w:t xml:space="preserve">2 Nov – 27 Dec</w:t>
            </w:r>
          </w:p>
        </w:tc>
        <w:tc>
          <w:tcPr>
            <w:tcW w:w="3538" w:type="dxa"/>
            <w:tcMar>
              <w:top w:w="70" w:type="dxa"/>
              <w:left w:w="100" w:type="dxa"/>
              <w:bottom w:w="70" w:type="dxa"/>
              <w:right w:w="100" w:type="dxa"/>
            </w:tcMar>
            <w:vAlign w:val="top"/>
          </w:tcPr>
          <w:p>
            <w:pPr>
              <w:spacing w:before="0" w:after="0"/>
            </w:pPr>
            <w:r>
              <w:rPr>
                <w:color w:val="0B1F3A"/>
                <w:sz w:val="20"/>
                <w:szCs w:val="20"/>
              </w:rPr>
              <w:t xml:space="preserve">Embed</w:t>
            </w:r>
          </w:p>
        </w:tc>
        <w:tc>
          <w:tcPr>
            <w:tcW w:w="2400" w:type="dxa"/>
            <w:tcMar>
              <w:top w:w="70" w:type="dxa"/>
              <w:left w:w="100" w:type="dxa"/>
              <w:bottom w:w="70" w:type="dxa"/>
              <w:right w:w="100" w:type="dxa"/>
            </w:tcMar>
            <w:vAlign w:val="top"/>
          </w:tcPr>
          <w:p>
            <w:pPr>
              <w:spacing w:before="0" w:after="0"/>
            </w:pPr>
            <w:r>
              <w:t xml:space="preserve"/>
            </w:r>
          </w:p>
        </w:tc>
      </w:tr>
      <w:tr>
        <w:trPr>
          <w:cantSplit/>
        </w:trPr>
        <w:tc>
          <w:tcPr>
            <w:tcW w:w="1400" w:type="dxa"/>
            <w:tcMar>
              <w:top w:w="70" w:type="dxa"/>
              <w:left w:w="100" w:type="dxa"/>
              <w:bottom w:w="70" w:type="dxa"/>
              <w:right w:w="100" w:type="dxa"/>
            </w:tcMar>
            <w:vAlign w:val="top"/>
          </w:tcPr>
          <w:p>
            <w:pPr>
              <w:spacing w:before="0" w:after="0"/>
            </w:pPr>
            <w:r>
              <w:rPr>
                <w:b/>
                <w:color w:val="B8924A"/>
                <w:sz w:val="20"/>
                <w:szCs w:val="20"/>
              </w:rPr>
              <w:t xml:space="preserve">Weeks 13–14</w:t>
            </w:r>
          </w:p>
        </w:tc>
        <w:tc>
          <w:tcPr>
            <w:tcW w:w="2300" w:type="dxa"/>
            <w:tcMar>
              <w:top w:w="70" w:type="dxa"/>
              <w:left w:w="100" w:type="dxa"/>
              <w:bottom w:w="70" w:type="dxa"/>
              <w:right w:w="100" w:type="dxa"/>
            </w:tcMar>
            <w:vAlign w:val="top"/>
          </w:tcPr>
          <w:p>
            <w:pPr>
              <w:spacing w:before="0" w:after="0"/>
            </w:pPr>
            <w:r>
              <w:rPr>
                <w:color w:val="0B1F3A"/>
                <w:sz w:val="20"/>
                <w:szCs w:val="20"/>
              </w:rPr>
              <w:t xml:space="preserve">28 Dec – 10 Jan</w:t>
            </w:r>
          </w:p>
        </w:tc>
        <w:tc>
          <w:tcPr>
            <w:tcW w:w="3538" w:type="dxa"/>
            <w:tcMar>
              <w:top w:w="70" w:type="dxa"/>
              <w:left w:w="100" w:type="dxa"/>
              <w:bottom w:w="70" w:type="dxa"/>
              <w:right w:w="100" w:type="dxa"/>
            </w:tcMar>
            <w:vAlign w:val="top"/>
          </w:tcPr>
          <w:p>
            <w:pPr>
              <w:spacing w:before="0" w:after="0"/>
            </w:pPr>
            <w:r>
              <w:rPr>
                <w:color w:val="0B1F3A"/>
                <w:sz w:val="20"/>
                <w:szCs w:val="20"/>
              </w:rPr>
              <w:t xml:space="preserve">Re-audit</w:t>
            </w:r>
          </w:p>
        </w:tc>
        <w:tc>
          <w:tcPr>
            <w:tcW w:w="2400" w:type="dxa"/>
            <w:tcMar>
              <w:top w:w="70" w:type="dxa"/>
              <w:left w:w="100" w:type="dxa"/>
              <w:bottom w:w="70" w:type="dxa"/>
              <w:right w:w="100" w:type="dxa"/>
            </w:tcMar>
            <w:vAlign w:val="top"/>
          </w:tcPr>
          <w:p>
            <w:pPr>
              <w:spacing w:before="0" w:after="0"/>
            </w:pPr>
            <w:r>
              <w:rPr>
                <w:color w:val="B8924A"/>
                <w:sz w:val="20"/>
                <w:szCs w:val="20"/>
              </w:rPr>
              <w:t xml:space="preserve">●</w:t>
            </w:r>
            <w:r>
              <w:rPr>
                <w:color w:val="44506A"/>
                <w:sz w:val="19"/>
                <w:szCs w:val="19"/>
              </w:rPr>
              <w:t xml:space="preserve">Email on 10 Jan</w:t>
            </w:r>
          </w:p>
        </w:tc>
      </w:tr>
    </w:tbl>
    <w:p>
      <w:pPr>
        <w:spacing w:before="0" w:after="60"/>
      </w:pPr>
    </w:p>
    <w:p>
      <w:pPr>
        <w:spacing w:before="0" w:after="120" w:line="276" w:lineRule="auto"/>
      </w:pPr>
      <w:r>
        <w:rPr>
          <w:color w:val="44506A"/>
          <w:sz w:val="18"/>
          <w:szCs w:val="18"/>
        </w:rPr>
        <w:t xml:space="preserve">Reminders: Ai4Qi emails the audit lead when each marked step is due, once they sign in and switch reminders on for this audit. The emails hold only the audit question, the step and its date.</w:t>
      </w:r>
    </w:p>
    <w:p>
      <w:pPr>
        <w:pStyle w:val="Heading1"/>
        <w:keepNext/>
        <w:spacing w:before="0" w:after="120"/>
      </w:pPr>
      <w:r>
        <w:rPr>
          <w:b/>
          <w:color w:val="B8924A"/>
        </w:rPr>
        <w:t xml:space="preserve">6</w:t>
      </w:r>
      <w:r>
        <w:tab/>
      </w:r>
      <w:r>
        <w:t xml:space="preserve">The change we will make</w:t>
      </w:r>
    </w:p>
    <w:p>
      <w:pPr>
        <w:spacing w:before="0" w:after="120" w:line="276" w:lineRule="auto"/>
      </w:pPr>
      <w:r>
        <w:t xml:space="preserve">Build an automatic ED alert on the e-observations system: a NEWS2 of 7 or more with an 'infection suspected' tick opens a sepsis order set with a pre-filled antibiotic and a 60-minute countdown on the tracking board.</w:t>
      </w:r>
    </w:p>
    <w:p>
      <w:pPr>
        <w:pStyle w:val="Heading1"/>
        <w:keepNext/>
        <w:spacing w:before="0" w:after="120"/>
      </w:pPr>
      <w:r>
        <w:rPr>
          <w:b/>
          <w:color w:val="B8924A"/>
        </w:rPr>
        <w:t xml:space="preserve">7</w:t>
      </w:r>
      <w:r>
        <w:tab/>
      </w:r>
      <w:r>
        <w:t xml:space="preserve">Re-audit and target</w:t>
      </w:r>
    </w:p>
    <w:p>
      <w:pPr>
        <w:spacing w:before="0" w:after="120"/>
      </w:pPr>
      <w:r>
        <w:rPr>
          <w:b/>
          <w:caps/>
          <w:color w:val="B8924A"/>
          <w:spacing w:val="20"/>
          <w:sz w:val="18"/>
          <w:szCs w:val="18"/>
        </w:rPr>
        <w:t xml:space="preserve">Target</w:t>
      </w:r>
      <w:r>
        <w:tab/>
      </w:r>
      <w:r>
        <w:rPr>
          <w:rFonts w:ascii="Georgia" w:hAnsi="Georgia" w:cs="Georgia"/>
          <w:color w:val="0B1F3A"/>
          <w:sz w:val="26"/>
          <w:szCs w:val="26"/>
        </w:rPr>
        <w:t xml:space="preserve">≥90%</w:t>
      </w:r>
    </w:p>
    <w:p>
      <w:pPr>
        <w:spacing w:before="0" w:after="120" w:line="276" w:lineRule="auto"/>
      </w:pPr>
      <w:r>
        <w:t xml:space="preserve">Weeks 13–14: next 40 consecutive eligible attendances, same template.</w:t>
      </w:r>
    </w:p>
    <w:p>
      <w:pPr>
        <w:pStyle w:val="Heading1"/>
        <w:keepNext/>
        <w:spacing w:before="0" w:after="120"/>
      </w:pPr>
      <w:r>
        <w:rPr>
          <w:b/>
          <w:color w:val="B8924A"/>
        </w:rPr>
        <w:t xml:space="preserve">8</w:t>
      </w:r>
      <w:r>
        <w:tab/>
      </w:r>
      <w:r>
        <w:t xml:space="preserve">Closing the loop</w:t>
      </w:r>
    </w:p>
    <w:p>
      <w:pPr>
        <w:spacing w:before="0" w:after="120" w:line="276" w:lineRule="auto"/>
      </w:pPr>
      <w:r>
        <w:t xml:space="preserve">Present at ED governance and the Trust deteriorating patient group. If it works, keep the alert in the e-observations build and report monthly to the sepsis lead.</w:t>
      </w:r>
    </w:p>
    <w:p>
      <w:pPr>
        <w:pStyle w:val="Heading1"/>
        <w:keepNext/>
        <w:spacing w:before="0" w:after="120"/>
      </w:pPr>
      <w:r>
        <w:rPr>
          <w:b/>
          <w:color w:val="B8924A"/>
        </w:rPr>
        <w:t xml:space="preserve">9</w:t>
      </w:r>
      <w:r>
        <w:tab/>
      </w:r>
      <w:r>
        <w:t xml:space="preserve">Risks and how we will handle them</w:t>
      </w:r>
    </w:p>
    <w:p>
      <w:pPr>
        <w:spacing w:before="0" w:after="80" w:line="264" w:lineRule="auto"/>
        <w:ind w:left="360" w:hanging="360"/>
      </w:pPr>
      <w:r>
        <w:rPr>
          <w:b/>
          <w:color w:val="B8924A"/>
        </w:rPr>
        <w:t xml:space="preserve">•</w:t>
      </w:r>
      <w:r>
        <w:t xml:space="preserve">	Time zero recorded differently between cycles → agree in advance that time zero is the first ED NEWS2 time stamp, not triage or doctor review.</w:t>
      </w:r>
    </w:p>
    <w:p>
      <w:pPr>
        <w:spacing w:before="0" w:after="80" w:line="264" w:lineRule="auto"/>
        <w:ind w:left="360" w:hanging="360"/>
      </w:pPr>
      <w:r>
        <w:rPr>
          <w:b/>
          <w:color w:val="B8924A"/>
        </w:rPr>
        <w:t xml:space="preserve">•</w:t>
      </w:r>
      <w:r>
        <w:t xml:space="preserve">	Prescription time used instead of administration time → take only the 'given' time from EPMA.</w:t>
      </w:r>
    </w:p>
    <w:p>
      <w:pPr>
        <w:spacing w:before="0" w:after="80" w:line="264" w:lineRule="auto"/>
        <w:ind w:left="360" w:hanging="360"/>
      </w:pPr>
      <w:r>
        <w:rPr>
          <w:b/>
          <w:color w:val="B8924A"/>
        </w:rPr>
        <w:t xml:space="preserve">•</w:t>
      </w:r>
      <w:r>
        <w:t xml:space="preserve">	Medium-risk patients with a 3-point single parameter caused by infection are missed → add a column and decide inclusion rules before cycle 1.</w:t>
      </w:r>
    </w:p>
    <w:p>
      <w:pPr>
        <w:spacing w:before="0" w:after="80" w:line="264" w:lineRule="auto"/>
        <w:ind w:left="360" w:hanging="360"/>
      </w:pPr>
      <w:r>
        <w:rPr>
          <w:b/>
          <w:color w:val="B8924A"/>
        </w:rPr>
        <w:t xml:space="preserve">•</w:t>
      </w:r>
      <w:r>
        <w:t xml:space="preserve">	Nursing staff see the audit as blame → share results by shift pattern, not by name.</w:t>
      </w:r>
    </w:p>
    <w:p>
      <w:pPr>
        <w:spacing w:before="0" w:after="80" w:line="264" w:lineRule="auto"/>
        <w:ind w:left="360" w:hanging="360"/>
      </w:pPr>
      <w:r>
        <w:rPr>
          <w:b/>
          <w:color w:val="B8924A"/>
        </w:rPr>
        <w:t xml:space="preserve">•</w:t>
      </w:r>
      <w:r>
        <w:t xml:space="preserve">	Gains fade after rotation → make the alert part of the system, not a poster.</w:t>
      </w:r>
    </w:p>
    <w:p>
      <w:pPr>
        <w:pStyle w:val="Heading1"/>
        <w:keepNext/>
        <w:spacing w:before="0" w:after="120"/>
      </w:pPr>
      <w:r>
        <w:rPr>
          <w:b/>
          <w:color w:val="B8924A"/>
        </w:rPr>
        <w:t xml:space="preserve">10</w:t>
      </w:r>
      <w:r>
        <w:tab/>
      </w:r>
      <w:r>
        <w:t xml:space="preserve">Previous audits on this topic</w:t>
      </w:r>
    </w:p>
    <w:p>
      <w:pPr>
        <w:spacing w:before="0" w:after="80" w:line="264" w:lineRule="auto"/>
        <w:ind w:left="360" w:hanging="360"/>
      </w:pPr>
      <w:r>
        <w:rPr>
          <w:b/>
          <w:color w:val="B8924A"/>
        </w:rPr>
        <w:t xml:space="preserve">•</w:t>
      </w:r>
      <w:r>
        <w:t xml:space="preserve">	[3007] paediatric severe sepsis: antibiotics within 1 hour 42% at baseline (no standard met)</w:t>
      </w:r>
    </w:p>
    <w:p>
      <w:pPr>
        <w:spacing w:before="0" w:after="80" w:line="264" w:lineRule="auto"/>
        <w:ind w:left="360" w:hanging="360"/>
      </w:pPr>
      <w:r>
        <w:rPr>
          <w:b/>
          <w:color w:val="B8924A"/>
        </w:rPr>
        <w:t xml:space="preserve">•</w:t>
      </w:r>
      <w:r>
        <w:t xml:space="preserve">	[1847] delirium: compulsory electronic screen raised completion 3% → 87% (system change beats teaching)</w:t>
      </w:r>
    </w:p>
    <w:p>
      <w:pPr>
        <w:spacing w:before="0" w:after="80" w:line="264" w:lineRule="auto"/>
        <w:ind w:left="360" w:hanging="360"/>
      </w:pPr>
      <w:r>
        <w:rPr>
          <w:b/>
          <w:color w:val="B8924A"/>
        </w:rPr>
        <w:t xml:space="preserve">•</w:t>
      </w:r>
      <w:r>
        <w:t xml:space="preserve">	[1358] ED VTE assessment: electronic discharge prompt 32% → 93.1% (electronic prompt)</w:t>
      </w:r>
    </w:p>
    <w:p>
      <w:pPr>
        <w:keepNext/>
        <w:spacing w:before="360" w:after="120"/>
      </w:pPr>
      <w:r>
        <w:rPr>
          <w:rFonts w:ascii="Georgia" w:hAnsi="Georgia" w:cs="Georgia"/>
          <w:color w:val="0B1F3A"/>
          <w:sz w:val="28"/>
          <w:szCs w:val="28"/>
        </w:rPr>
        <w:t xml:space="preserve">Supervisor approval</w:t>
      </w:r>
    </w:p>
    <w:tbl>
      <w:tblPr>
        <w:tblW w:w="9638" w:type="dxa"/>
        <w:tblBorders>
          <w:top w:val="single" w:sz="4" w:space="0" w:color="E4E1D8"/>
          <w:left w:val="single" w:sz="4" w:space="0" w:color="E4E1D8"/>
          <w:bottom w:val="single" w:sz="4" w:space="0" w:color="E4E1D8"/>
          <w:right w:val="single" w:sz="4" w:space="0" w:color="E4E1D8"/>
          <w:insideH w:val="single" w:sz="4" w:space="0" w:color="E4E1D8"/>
          <w:insideV w:val="single" w:sz="4" w:space="0" w:color="E4E1D8"/>
        </w:tblBorders>
        <w:tblLayout w:type="fixed"/>
        <w:tblLook w:val="04A0" w:firstRow="1" w:lastRow="0" w:firstColumn="0" w:lastColumn="0" w:noHBand="1" w:noVBand="1"/>
      </w:tblPr>
      <w:tblGrid>
        <w:gridCol w:w="2600"/>
        <w:gridCol w:w="7038"/>
      </w:tblGrid>
      <w:tr>
        <w:trPr>
          <w:cantSplit/>
        </w:trPr>
        <w:tc>
          <w:tcPr>
            <w:tcW w:w="2600" w:type="dxa"/>
            <w:shd w:val="clear" w:color="auto" w:fill="F6F4EE"/>
            <w:tcMar>
              <w:top w:w="140" w:type="dxa"/>
              <w:left w:w="100" w:type="dxa"/>
              <w:bottom w:w="140" w:type="dxa"/>
              <w:right w:w="100" w:type="dxa"/>
            </w:tcMar>
            <w:vAlign w:val="center"/>
          </w:tcPr>
          <w:p>
            <w:pPr>
              <w:spacing w:before="0" w:after="0"/>
            </w:pPr>
            <w:r>
              <w:rPr>
                <w:b/>
                <w:color w:val="44506A"/>
                <w:spacing w:val="20"/>
                <w:sz w:val="16"/>
                <w:szCs w:val="16"/>
              </w:rPr>
              <w:t xml:space="preserve">SUPERVISOR</w:t>
            </w:r>
          </w:p>
        </w:tc>
        <w:tc>
          <w:tcPr>
            <w:tcW w:w="7038" w:type="dxa"/>
            <w:tcMar>
              <w:top w:w="140" w:type="dxa"/>
              <w:left w:w="100" w:type="dxa"/>
              <w:bottom w:w="140" w:type="dxa"/>
              <w:right w:w="100" w:type="dxa"/>
            </w:tcMar>
            <w:vAlign w:val="center"/>
          </w:tcPr>
          <w:p>
            <w:pPr>
              <w:spacing w:before="0" w:after="0"/>
            </w:pPr>
            <w:r>
              <w:rPr>
                <w:color w:val="0B1F3A"/>
                <w:sz w:val="20"/>
                <w:szCs w:val="20"/>
              </w:rPr>
              <w:t xml:space="preserve">Dr Priya Shah</w:t>
            </w:r>
          </w:p>
        </w:tc>
      </w:tr>
      <w:tr>
        <w:trPr>
          <w:cantSplit/>
        </w:trPr>
        <w:tc>
          <w:tcPr>
            <w:tcW w:w="2600" w:type="dxa"/>
            <w:shd w:val="clear" w:color="auto" w:fill="F6F4EE"/>
            <w:tcMar>
              <w:top w:w="140" w:type="dxa"/>
              <w:left w:w="100" w:type="dxa"/>
              <w:bottom w:w="140" w:type="dxa"/>
              <w:right w:w="100" w:type="dxa"/>
            </w:tcMar>
            <w:vAlign w:val="center"/>
          </w:tcPr>
          <w:p>
            <w:pPr>
              <w:spacing w:before="0" w:after="0"/>
            </w:pPr>
            <w:r>
              <w:rPr>
                <w:b/>
                <w:color w:val="44506A"/>
                <w:spacing w:val="20"/>
                <w:sz w:val="16"/>
                <w:szCs w:val="16"/>
              </w:rPr>
              <w:t xml:space="preserve">DECISION</w:t>
            </w:r>
          </w:p>
        </w:tc>
        <w:tc>
          <w:tcPr>
            <w:tcW w:w="7038" w:type="dxa"/>
            <w:tcMar>
              <w:top w:w="140" w:type="dxa"/>
              <w:left w:w="100" w:type="dxa"/>
              <w:bottom w:w="140" w:type="dxa"/>
              <w:right w:w="100" w:type="dxa"/>
            </w:tcMar>
            <w:vAlign w:val="center"/>
          </w:tcPr>
          <w:p>
            <w:pPr>
              <w:spacing w:before="0" w:after="0"/>
            </w:pPr>
            <w:r>
              <w:rPr>
                <w:color w:val="0B1F3A"/>
                <w:sz w:val="20"/>
                <w:szCs w:val="20"/>
              </w:rPr>
              <w:t xml:space="preserve">☐ Approved as written     ☐ Approved with changes     ☐ Not approved</w:t>
            </w:r>
          </w:p>
        </w:tc>
      </w:tr>
      <w:tr>
        <w:trPr>
          <w:cantSplit/>
        </w:trPr>
        <w:tc>
          <w:tcPr>
            <w:tcW w:w="2600" w:type="dxa"/>
            <w:shd w:val="clear" w:color="auto" w:fill="F6F4EE"/>
            <w:tcMar>
              <w:top w:w="140" w:type="dxa"/>
              <w:left w:w="100" w:type="dxa"/>
              <w:bottom w:w="140" w:type="dxa"/>
              <w:right w:w="100" w:type="dxa"/>
            </w:tcMar>
            <w:vAlign w:val="center"/>
          </w:tcPr>
          <w:p>
            <w:pPr>
              <w:spacing w:before="0" w:after="0"/>
            </w:pPr>
            <w:r>
              <w:rPr>
                <w:b/>
                <w:color w:val="44506A"/>
                <w:spacing w:val="20"/>
                <w:sz w:val="16"/>
                <w:szCs w:val="16"/>
              </w:rPr>
              <w:t xml:space="preserve">CHANGES OR COMMENTS</w:t>
            </w:r>
          </w:p>
        </w:tc>
        <w:tc>
          <w:tcPr>
            <w:tcW w:w="7038" w:type="dxa"/>
            <w:tcMar>
              <w:top w:w="140" w:type="dxa"/>
              <w:left w:w="100" w:type="dxa"/>
              <w:bottom w:w="140" w:type="dxa"/>
              <w:right w:w="100" w:type="dxa"/>
            </w:tcMar>
            <w:vAlign w:val="center"/>
          </w:tcPr>
          <w:p>
            <w:pPr>
              <w:spacing w:before="0" w:after="0"/>
            </w:pPr>
            <w:r>
              <w:rPr>
                <w:color w:val="0B1F3A"/>
                <w:sz w:val="20"/>
                <w:szCs w:val="20"/>
              </w:rPr>
              <w:t xml:space="preserve"/>
            </w:r>
            <w:r>
              <w:br/>
            </w:r>
            <w:r>
              <w:rPr>
                <w:color w:val="0B1F3A"/>
                <w:sz w:val="20"/>
                <w:szCs w:val="20"/>
              </w:rPr>
              <w:t xml:space="preserve"/>
            </w:r>
            <w:r>
              <w:br/>
            </w:r>
            <w:r>
              <w:rPr>
                <w:color w:val="0B1F3A"/>
                <w:sz w:val="20"/>
                <w:szCs w:val="20"/>
              </w:rPr>
              <w:t xml:space="preserve"/>
            </w:r>
          </w:p>
        </w:tc>
      </w:tr>
      <w:tr>
        <w:trPr>
          <w:cantSplit/>
        </w:trPr>
        <w:tc>
          <w:tcPr>
            <w:tcW w:w="2600" w:type="dxa"/>
            <w:shd w:val="clear" w:color="auto" w:fill="F6F4EE"/>
            <w:tcMar>
              <w:top w:w="140" w:type="dxa"/>
              <w:left w:w="100" w:type="dxa"/>
              <w:bottom w:w="140" w:type="dxa"/>
              <w:right w:w="100" w:type="dxa"/>
            </w:tcMar>
            <w:vAlign w:val="center"/>
          </w:tcPr>
          <w:p>
            <w:pPr>
              <w:spacing w:before="0" w:after="0"/>
            </w:pPr>
            <w:r>
              <w:rPr>
                <w:b/>
                <w:color w:val="44506A"/>
                <w:spacing w:val="20"/>
                <w:sz w:val="16"/>
                <w:szCs w:val="16"/>
              </w:rPr>
              <w:t xml:space="preserve">SIGNATURE</w:t>
            </w:r>
          </w:p>
        </w:tc>
        <w:tc>
          <w:tcPr>
            <w:tcW w:w="7038" w:type="dxa"/>
            <w:tcMar>
              <w:top w:w="140" w:type="dxa"/>
              <w:left w:w="100" w:type="dxa"/>
              <w:bottom w:w="140" w:type="dxa"/>
              <w:right w:w="100" w:type="dxa"/>
            </w:tcMar>
            <w:vAlign w:val="center"/>
          </w:tcPr>
          <w:p>
            <w:pPr>
              <w:spacing w:before="0" w:after="0"/>
            </w:pPr>
            <w:r>
              <w:rPr>
                <w:color w:val="0B1F3A"/>
                <w:sz w:val="20"/>
                <w:szCs w:val="20"/>
              </w:rPr>
              <w:t xml:space="preserve"/>
            </w:r>
          </w:p>
        </w:tc>
      </w:tr>
      <w:tr>
        <w:trPr>
          <w:cantSplit/>
        </w:trPr>
        <w:tc>
          <w:tcPr>
            <w:tcW w:w="2600" w:type="dxa"/>
            <w:shd w:val="clear" w:color="auto" w:fill="F6F4EE"/>
            <w:tcMar>
              <w:top w:w="140" w:type="dxa"/>
              <w:left w:w="100" w:type="dxa"/>
              <w:bottom w:w="140" w:type="dxa"/>
              <w:right w:w="100" w:type="dxa"/>
            </w:tcMar>
            <w:vAlign w:val="center"/>
          </w:tcPr>
          <w:p>
            <w:pPr>
              <w:spacing w:before="0" w:after="0"/>
            </w:pPr>
            <w:r>
              <w:rPr>
                <w:b/>
                <w:color w:val="44506A"/>
                <w:spacing w:val="20"/>
                <w:sz w:val="16"/>
                <w:szCs w:val="16"/>
              </w:rPr>
              <w:t xml:space="preserve">DATE</w:t>
            </w:r>
          </w:p>
        </w:tc>
        <w:tc>
          <w:tcPr>
            <w:tcW w:w="7038" w:type="dxa"/>
            <w:tcMar>
              <w:top w:w="140" w:type="dxa"/>
              <w:left w:w="100" w:type="dxa"/>
              <w:bottom w:w="140" w:type="dxa"/>
              <w:right w:w="100" w:type="dxa"/>
            </w:tcMar>
            <w:vAlign w:val="center"/>
          </w:tcPr>
          <w:p>
            <w:pPr>
              <w:spacing w:before="0" w:after="0"/>
            </w:pPr>
            <w:r>
              <w:rPr>
                <w:color w:val="0B1F3A"/>
                <w:sz w:val="20"/>
                <w:szCs w:val="20"/>
              </w:rPr>
              <w:t xml:space="preserve"/>
            </w:r>
          </w:p>
        </w:tc>
      </w:tr>
    </w:tbl>
    <w:p>
      <w:pPr>
        <w:spacing w:before="0" w:after="60"/>
      </w:pPr>
    </w:p>
    <w:p>
      <w:pPr>
        <w:spacing w:before="0" w:after="120" w:line="276" w:lineRule="auto"/>
      </w:pPr>
      <w:r>
        <w:rPr>
          <w:color w:val="44506A"/>
          <w:sz w:val="18"/>
          <w:szCs w:val="18"/>
        </w:rPr>
        <w:t xml:space="preserve">Register the audit with your clinical audit department before collecting data.</w:t>
      </w:r>
    </w:p>
    <w:sectPr>
      <w:footerReference w:type="default" r:id="rIdF"/>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spacing w:before="0" w:after="0"/>
    </w:pPr>
    <w:r>
      <w:rPr>
        <w:color w:val="9AA5B8"/>
        <w:sz w:val="16"/>
        <w:szCs w:val="16"/>
      </w:rPr>
      <w:t xml:space="preserve">Audit proposal  ·  What proportion of adults at high risk from sepsis (NEWS2 7 or more…  ·  Prepared with Ai4Qi  ·  Page</w:t>
    </w:r>
    <w:r>
      <w:rPr>
        <w:color w:val="9AA5B8"/>
        <w:sz w:val="16"/>
      </w:rPr>
      <w:fldChar w:fldCharType="begin"/>
    </w:r>
    <w:r>
      <w:rPr>
        <w:color w:val="9AA5B8"/>
        <w:sz w:val="16"/>
      </w:rPr>
      <w:instrText xml:space="preserve"> PAGE </w:instrText>
    </w:r>
    <w:r>
      <w:rPr>
        <w:color w:val="9AA5B8"/>
        <w:sz w:val="16"/>
      </w:rPr>
      <w:fldChar w:fldCharType="separate"/>
    </w:r>
    <w:r>
      <w:rPr>
        <w:color w:val="9AA5B8"/>
        <w:sz w:val="16"/>
      </w:rPr>
      <w:t>1</w:t>
    </w:r>
    <w:r>
      <w:rPr>
        <w:color w:val="9AA5B8"/>
        <w:sz w:val="16"/>
      </w:rPr>
      <w:fldChar w:fldCharType="end"/>
    </w:r>
  </w:p>
</w:ftr>
</file>

<file path=word/styles.xml><?xml version="1.0" encoding="utf-8"?>
<w:styles xmlns:w="http://schemas.openxmlformats.org/wordprocessingml/2006/main" xmlns:r="http://schemas.openxmlformats.org/officeDocument/2006/relationships">
  <w:docDefaults>
    <w:rPrDefault>
      <w:rPr>
        <w:rFonts w:ascii="Calibri" w:hAnsi="Calibri" w:cs="Calibri" w:eastAsia="Calibri"/>
        <w:color w:val="0B1F3A"/>
        <w:sz w:val="21"/>
        <w:szCs w:val="21"/>
        <w:lang w:val="en-GB"/>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pBdr>
        <w:top w:val="single" w:sz="4" w:space="8" w:color="E4E6EB"/>
      </w:pBdr>
      <w:spacing w:before="300" w:after="120"/>
      <w:outlineLvl w:val="0"/>
    </w:pPr>
    <w:rPr>
      <w:rFonts w:ascii="Georgia" w:hAnsi="Georgia" w:cs="Georgia"/>
      <w:color w:val="0B1F3A"/>
      <w:sz w:val="30"/>
      <w:szCs w:val="30"/>
    </w:rPr>
  </w:style>
  <w:style w:type="table" w:default="1" w:styleId="TableNormal">
    <w:name w:val="Normal Table"/>
    <w:tblPr>
      <w:tblInd w:w="0" w:type="dxa"/>
      <w:tblCellMar>
        <w:left w:w="100" w:type="dxa"/>
        <w:right w:w="100"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F" Type="http://schemas.openxmlformats.org/officeDocument/2006/relationships/footer" Target="footer1.xml"/><Relationship Id="rIdL1" Type="http://schemas.openxmlformats.org/officeDocument/2006/relationships/hyperlink" Target="https://www.nice.org.uk/guidance/ng253/chapter/Managing-suspected-sepsis" TargetMode="External"/></Relationships>
</file>

<file path=docProps/app.xml><?xml version="1.0" encoding="utf-8"?>
<Properties xmlns="http://schemas.openxmlformats.org/officeDocument/2006/extended-properties">
  <Application>Ai4Qi</Application>
</Properties>
</file>

<file path=docProps/core.xml><?xml version="1.0" encoding="utf-8"?>
<cp:coreProperties xmlns:cp="http://schemas.openxmlformats.org/package/2006/metadata/core-properties" xmlns:dc="http://purl.org/dc/elements/1.1/" xmlns:dcterms="http://purl.org/dc/terms/" xmlns:xsi="http://www.w3.org/2001/XMLSchema-instance">
  <dc:title>Audit proposal: What proportion of adults at high risk from sepsis (NEWS2 7 or more with suspected infection) receive IV antibiotics within 1 hour of their first ED NEWS2 score?</dc:title>
  <dc:creator>Alex Morgan</dc:creator>
  <dcterms:created xsi:type="dcterms:W3CDTF">2026-09-29T09:03:32Z</dcterms:created>
  <dcterms:modified xsi:type="dcterms:W3CDTF">2026-09-29T09:03:32Z</dcterms:modified>
</cp:coreProperties>
</file>