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Retail Energy Proposal</w:t>
      </w:r>
    </w:p>
    <w:p>
      <w:pPr>
        <w:pStyle w:val="Heading1"/>
      </w:pPr>
      <w:r>
        <w:t>Summary</w:t>
      </w:r>
    </w:p>
    <w:p>
      <w:r>
        <w:t>We propose a three-month pilot of the Green Saver Plan for 500 households in Western Sydney, funded by the state solar rebate.</w:t>
      </w:r>
    </w:p>
    <w:p>
      <w:pPr>
        <w:pStyle w:val="Heading1"/>
      </w:pPr>
      <w:r>
        <w:t>Pricing</w:t>
      </w:r>
    </w:p>
    <w:p>
      <w:r>
        <w:t>The plan charges 29.4c per kWh with a 98c daily supply charge. Customers with solar receive a 6c feed-in tariff.</w:t>
      </w:r>
    </w:p>
    <w:p>
      <w:r>
        <w:t>A 5% pay-on-time discount applies to usage charges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29.4</w:t>
            </w:r>
          </w:p>
        </w:tc>
        <w:tc>
          <w:tcPr>
            <w:tcW w:type="dxa" w:w="2880"/>
          </w:tcPr>
          <w:p>
            <w:r>
              <w:t>c/kWh</w:t>
            </w:r>
          </w:p>
        </w:tc>
      </w:tr>
      <w:tr>
        <w:tc>
          <w:tcPr>
            <w:tcW w:type="dxa" w:w="2880"/>
          </w:tcPr>
          <w:p>
            <w:r>
              <w:t>Supply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c/day</w:t>
            </w:r>
          </w:p>
        </w:tc>
      </w:tr>
    </w:tbl>
    <w:p>
      <w:pPr>
        <w:pStyle w:val="Heading1"/>
      </w:pPr>
      <w:r>
        <w:t>Timeline</w:t>
      </w:r>
    </w:p>
    <w:p>
      <w:r>
        <w:t>Recruitment runs in January, installs in February and the first bills go out in March.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