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Pattern 006 – Speaker Notes</w:t>
      </w:r>
    </w:p>
    <w:p>
      <w:pPr>
        <w:jc w:val="center"/>
      </w:pPr>
      <w:r>
        <w:t>Grafana Cloud BU-Aligned Architecture</w:t>
        <w:br/>
        <w:t>Finastra Platform Shared Services</w:t>
        <w:br/>
        <w:t>Date: May 2026</w:t>
        <w:br/>
        <w:br/>
        <w:t>For: Internal Presentation Use Only</w:t>
      </w:r>
    </w:p>
    <w:p>
      <w:r>
        <w:br w:type="page"/>
      </w:r>
    </w:p>
    <w:p>
      <w:pPr>
        <w:pStyle w:val="Heading1"/>
      </w:pPr>
      <w:r>
        <w:t>Instructions for Presenter</w:t>
      </w:r>
    </w:p>
    <w:p>
      <w:r>
        <w:t>This document provides slide-by-slide speaker notes. Each section shows:</w:t>
        <w:br/>
        <w:t>• Slide number and title</w:t>
        <w:br/>
        <w:t>• What is shown on screen (Visual Cue)</w:t>
        <w:br/>
        <w:t>• Exact talking points (What to Say)</w:t>
        <w:br/>
        <w:t>• Estimated time and key emphasis points</w:t>
      </w:r>
    </w:p>
    <w:p>
      <w:r>
        <w:br w:type="page"/>
      </w:r>
    </w:p>
    <w:p>
      <w:pPr>
        <w:pStyle w:val="Heading1"/>
      </w:pPr>
      <w:r>
        <w:t>Slide 1: Title Slide – Grafana Cloud BU-Aligned Architecture</w:t>
      </w:r>
    </w:p>
    <w:p>
      <w:r>
        <w:rPr>
          <w:b/>
        </w:rPr>
        <w:t xml:space="preserve">🖥️  Visual Cue: </w:t>
      </w:r>
      <w:r>
        <w:t>Finastra branding with title 'Grafana Cloud BU-Aligned Architecture: Observability Pod'. Date shown: May 2026.</w:t>
      </w:r>
    </w:p>
    <w:p>
      <w:r>
        <w:rPr>
          <w:b/>
        </w:rPr>
        <w:t xml:space="preserve">⏱️  Estimated Time: </w:t>
      </w:r>
      <w:r>
        <w:t>~1 minute</w:t>
      </w:r>
    </w:p>
    <w:p>
      <w:r>
        <w:rPr>
          <w:b/>
        </w:rPr>
        <w:t xml:space="preserve">🎯  Key Points to Emphasize: </w:t>
      </w:r>
      <w:r>
        <w:t>Pattern 006 | scale | without compromising a single security guarantee</w:t>
      </w:r>
    </w:p>
    <w:p/>
    <w:p>
      <w:r>
        <w:rPr>
          <w:b/>
          <w:sz w:val="24"/>
        </w:rPr>
        <w:t>📢  WHAT TO SAY:</w:t>
      </w:r>
    </w:p>
    <w:p>
      <w:r>
        <w:t>Good [morning/afternoon] everyone. Thank you for joining today.</w:t>
        <w:br/>
        <w:br/>
        <w:t>I'm presenting Pattern 006 — a strategic evolution of our Grafana Cloud observability platform.</w:t>
        <w:br/>
        <w:br/>
        <w:t>This is a story about scale. We inherited a solid foundation from Pattern 005, but as Finastra has grown, that model has started showing structural cracks. Today I'll walk you through what those cracks are, and the deliberate architectural decisions we've made to resolve them — without compromising a single security guarantee.</w:t>
        <w:br/>
        <w:br/>
        <w:t>Let's begin.</w:t>
      </w:r>
    </w:p>
    <w:p>
      <w:r>
        <w:br w:type="page"/>
      </w:r>
    </w:p>
    <w:p>
      <w:pPr>
        <w:pStyle w:val="Heading1"/>
      </w:pPr>
      <w:r>
        <w:t>Slide 2: Deliverable Overview</w:t>
      </w:r>
    </w:p>
    <w:p>
      <w:r>
        <w:rPr>
          <w:b/>
        </w:rPr>
        <w:t xml:space="preserve">🖥️  Visual Cue: </w:t>
      </w:r>
      <w:r>
        <w:t>Overview slide listing: Deliverable Purpose, Supported Outcomes, Key Questions Answered. Shows scope of consolidating 100+ stacks to 5-6 BU-aligned stacks.</w:t>
      </w:r>
    </w:p>
    <w:p>
      <w:r>
        <w:rPr>
          <w:b/>
        </w:rPr>
        <w:t xml:space="preserve">⏱️  Estimated Time: </w:t>
      </w:r>
      <w:r>
        <w:t>~2 minutes</w:t>
      </w:r>
    </w:p>
    <w:p>
      <w:r>
        <w:rPr>
          <w:b/>
        </w:rPr>
        <w:t xml:space="preserve">🎯  Key Points to Emphasize: </w:t>
      </w:r>
      <w:r>
        <w:t>per-product stack model | Business Unit aligned model | 100+ stacks down to just 5 or 6</w:t>
      </w:r>
    </w:p>
    <w:p/>
    <w:p>
      <w:r>
        <w:rPr>
          <w:b/>
          <w:sz w:val="24"/>
        </w:rPr>
        <w:t>📢  WHAT TO SAY:</w:t>
      </w:r>
    </w:p>
    <w:p>
      <w:r>
        <w:t>Before we dive into the architecture, let me frame what this document is and what questions it answers.</w:t>
        <w:br/>
        <w:br/>
        <w:t>The core purpose of Pattern 006 is to evolve our Grafana Cloud stack management framework. We are moving from a per-product stack model — where every product gets its own isolated Grafana stack — to a Business Unit aligned model.</w:t>
        <w:br/>
        <w:br/>
        <w:t>The key questions this work answers are:</w:t>
        <w:br/>
        <w:t>- Why are we moving away from per-product stacks?</w:t>
        <w:br/>
        <w:t>- How do we maintain enterprise-grade security when consolidating?</w:t>
        <w:br/>
        <w:t>- What are the proper boundaries for different environments within a stack?</w:t>
        <w:br/>
        <w:t>- And concretely — how do we go from 100+ stacks down to just 5 or 6?</w:t>
        <w:br/>
        <w:br/>
        <w:t>This document and the architecture it describes answers all of these definitively.</w:t>
      </w:r>
    </w:p>
    <w:p>
      <w:r>
        <w:br w:type="page"/>
      </w:r>
    </w:p>
    <w:p>
      <w:pPr>
        <w:pStyle w:val="Heading1"/>
      </w:pPr>
      <w:r>
        <w:t>Slide 3: Context – Finastra Aspirations Program</w:t>
      </w:r>
    </w:p>
    <w:p>
      <w:r>
        <w:rPr>
          <w:b/>
        </w:rPr>
        <w:t xml:space="preserve">🖥️  Visual Cue: </w:t>
      </w:r>
      <w:r>
        <w:t>Full Finastra Platform Architecture diagram showing Observability and FinOps as a key capability alongside Developer Portal, Landing Zone, Orchestration, Governance.</w:t>
      </w:r>
    </w:p>
    <w:p>
      <w:r>
        <w:rPr>
          <w:b/>
        </w:rPr>
        <w:t xml:space="preserve">⏱️  Estimated Time: </w:t>
      </w:r>
      <w:r>
        <w:t>~1.5 minutes</w:t>
      </w:r>
    </w:p>
    <w:p>
      <w:r>
        <w:rPr>
          <w:b/>
        </w:rPr>
        <w:t xml:space="preserve">🎯  Key Points to Emphasize: </w:t>
      </w:r>
      <w:r>
        <w:t>foundational capability | Unified Telemetry | Cost Transparency and FinOps</w:t>
      </w:r>
    </w:p>
    <w:p/>
    <w:p>
      <w:r>
        <w:rPr>
          <w:b/>
          <w:sz w:val="24"/>
        </w:rPr>
        <w:t>📢  WHAT TO SAY:</w:t>
      </w:r>
    </w:p>
    <w:p>
      <w:r>
        <w:t>This slide places our work in the broader Finastra Aspirations Program context.</w:t>
        <w:br/>
        <w:br/>
        <w:t>Observability is not a standalone concern — it's a foundational capability that supports every other platform pillar. You can see it sits alongside Landing Zone, Delivery &amp; Integration, and Governance as a core shared service.</w:t>
        <w:br/>
        <w:br/>
        <w:t>Our Observability Pod specifically delivers:</w:t>
        <w:br/>
        <w:t>- Unified Telemetry — metrics, logs, and traces</w:t>
        <w:br/>
        <w:t>- BU Dashboards and Reliability Monitoring</w:t>
        <w:br/>
        <w:t>- Centralized Alerting and Incident Response</w:t>
        <w:br/>
        <w:t>- Cost Transparency and FinOps Optimization</w:t>
        <w:br/>
        <w:br/>
        <w:t>Pattern 006 is how we scale this capability to support all of Finastra's Business Units.</w:t>
      </w:r>
    </w:p>
    <w:p>
      <w:r>
        <w:br w:type="page"/>
      </w:r>
    </w:p>
    <w:p>
      <w:pPr>
        <w:pStyle w:val="Heading1"/>
      </w:pPr>
      <w:r>
        <w:t>Slide 4: Executive Summary – Where We Are, Where We're Going</w:t>
      </w:r>
    </w:p>
    <w:p>
      <w:r>
        <w:rPr>
          <w:b/>
        </w:rPr>
        <w:t xml:space="preserve">🖥️  Visual Cue: </w:t>
      </w:r>
      <w:r>
        <w:t>Three-column layout: WHERE WE STARTED (Pattern 005), WHERE WE STRUGGLE (100+ Stacks), WHERE WE'RE GOING (Pattern 006).</w:t>
      </w:r>
    </w:p>
    <w:p>
      <w:r>
        <w:rPr>
          <w:b/>
        </w:rPr>
        <w:t xml:space="preserve">⏱️  Estimated Time: </w:t>
      </w:r>
      <w:r>
        <w:t>~2 minutes</w:t>
      </w:r>
    </w:p>
    <w:p>
      <w:r>
        <w:rPr>
          <w:b/>
        </w:rPr>
        <w:t xml:space="preserve">🎯  Key Points to Emphasize: </w:t>
      </w:r>
      <w:r>
        <w:t>structural, not regressive | enterprise-grade security | Single Pane of Glass</w:t>
      </w:r>
    </w:p>
    <w:p/>
    <w:p>
      <w:r>
        <w:rPr>
          <w:b/>
          <w:sz w:val="24"/>
        </w:rPr>
        <w:t>📢  WHAT TO SAY:</w:t>
      </w:r>
    </w:p>
    <w:p>
      <w:r>
        <w:t>This is the executive summary — three acts that tell the complete story.</w:t>
        <w:br/>
        <w:br/>
        <w:t>WHERE WE STARTED: Pattern 005 gave us a solid foundation. We consolidated from four Grafana orgs down to one single Finastra org. We established GitOps and Terraform as our automation backbone. That was the right call at the time.</w:t>
        <w:br/>
        <w:br/>
        <w:t>WHERE WE STRUGGLE: At scale, the per-product stack model has produced operational debt. We now have over 100 stacks to maintain. SREs cannot get cross-tier views. Every dashboard improvement requires coordinated deployments across dozens of stacks. This is not sustainable.</w:t>
        <w:br/>
        <w:br/>
        <w:t>WHERE WE'RE GOING: Pattern 006 consolidates to 5 to 6 BU-aligned stacks — one per Business Unit. Critically, the shift is structural, not regressive. We preserve the same enterprise-grade security through LBAC and RBAC. We gain native cross-tier visibility and a true Single Pane of Glass.</w:t>
        <w:br/>
        <w:br/>
        <w:t>This is evolution, not a regression.</w:t>
      </w:r>
    </w:p>
    <w:p>
      <w:r>
        <w:br w:type="page"/>
      </w:r>
    </w:p>
    <w:p>
      <w:pPr>
        <w:pStyle w:val="Heading1"/>
      </w:pPr>
      <w:r>
        <w:t>Slide 5: The Problem – Why Per-Product Stacks Don't Scale</w:t>
      </w:r>
    </w:p>
    <w:p>
      <w:r>
        <w:rPr>
          <w:b/>
        </w:rPr>
        <w:t xml:space="preserve">🖥️  Visual Cue: </w:t>
      </w:r>
      <w:r>
        <w:t>Five dimensions of architectural debt shown as numbered cards. Key stats: 100+ stacks, 0 cross-tier views, 4 stacks for Pay2Go, N× dashboard sync burden.</w:t>
      </w:r>
    </w:p>
    <w:p>
      <w:r>
        <w:rPr>
          <w:b/>
        </w:rPr>
        <w:t xml:space="preserve">⏱️  Estimated Time: </w:t>
      </w:r>
      <w:r>
        <w:t>~3 minutes</w:t>
      </w:r>
    </w:p>
    <w:p>
      <w:r>
        <w:rPr>
          <w:b/>
        </w:rPr>
        <w:t xml:space="preserve">🎯  Key Points to Emphasize: </w:t>
      </w:r>
      <w:r>
        <w:t>100 stateful stacks | structurally impossible | all five dimensions</w:t>
      </w:r>
    </w:p>
    <w:p/>
    <w:p>
      <w:r>
        <w:rPr>
          <w:b/>
          <w:sz w:val="24"/>
        </w:rPr>
        <w:t>📢  WHAT TO SAY:</w:t>
      </w:r>
    </w:p>
    <w:p>
      <w:r>
        <w:t>Let me be precise about the problem, because the scale of it justifies the architectural change we're making.</w:t>
        <w:br/>
        <w:br/>
        <w:t>Pattern 005 served us well. But at enterprise scale, five distinct dimensions of technical debt have emerged:</w:t>
        <w:br/>
        <w:br/>
        <w:t>One — Operational Overhead. We are patching, upgrading, and auditing over 100 stateful stacks. That's 100 separate things that can break, 100 separate upgrade cycles, 100 separate audit trails.</w:t>
        <w:br/>
        <w:br/>
        <w:t>Two — Asset Duplication. Every time we improve a dashboard — fix a threshold, add a panel, update a label — we must coordinate that deployment across 100+ stacks. This is unsustainable toil.</w:t>
        <w:br/>
        <w:br/>
        <w:t>Three — Identity Sprawl. Our SREs are managing role assignments across dozens of isolated boundaries. Onboarding one engineer means touching dozens of stacks.</w:t>
        <w:br/>
        <w:br/>
        <w:t>Four — Siloed Observability. Cross-tier views — overlaying Dev, Stage, and Prod — are structurally impossible in Pattern 005. The architecture physically prevents it.</w:t>
        <w:br/>
        <w:br/>
        <w:t>Five — Fragmented Multi-Region. A Pay2Go SRE must context-switch across 4 different stacks just to get a global view of their own product.</w:t>
        <w:br/>
        <w:br/>
        <w:t>Consolidating at the BU level directly mitigates all five of these dimensions.</w:t>
      </w:r>
    </w:p>
    <w:p>
      <w:r>
        <w:br w:type="page"/>
      </w:r>
    </w:p>
    <w:p>
      <w:pPr>
        <w:pStyle w:val="Heading1"/>
      </w:pPr>
      <w:r>
        <w:t>Slide 6: The Architectural Insight – Two Boundaries, One Architecture</w:t>
      </w:r>
    </w:p>
    <w:p>
      <w:r>
        <w:rPr>
          <w:b/>
        </w:rPr>
        <w:t xml:space="preserve">🖥️  Visual Cue: </w:t>
      </w:r>
      <w:r>
        <w:t>Split diagram: Left = OPERATIONAL BOUNDARY (The Stack at BU level, example: AZR-C03-LEND-0001). Right = SECURITY BOUNDARY (The Label and Folder at product level, example: {product='laserpro'}).</w:t>
      </w:r>
    </w:p>
    <w:p>
      <w:r>
        <w:rPr>
          <w:b/>
        </w:rPr>
        <w:t xml:space="preserve">⏱️  Estimated Time: </w:t>
      </w:r>
      <w:r>
        <w:t>~3 minutes</w:t>
      </w:r>
    </w:p>
    <w:p>
      <w:r>
        <w:rPr>
          <w:b/>
        </w:rPr>
        <w:t xml:space="preserve">🎯  Key Points to Emphasize: </w:t>
      </w:r>
      <w:r>
        <w:t>two concerns deliberately separated | query engine enforces | same enterprise-grade security</w:t>
      </w:r>
    </w:p>
    <w:p/>
    <w:p>
      <w:r>
        <w:rPr>
          <w:b/>
          <w:sz w:val="24"/>
        </w:rPr>
        <w:t>📢  WHAT TO SAY:</w:t>
      </w:r>
    </w:p>
    <w:p>
      <w:r>
        <w:t>This is the key insight that makes everything else work. Pay close attention here.</w:t>
        <w:br/>
        <w:br/>
        <w:t>We are deliberately separating two concerns that Pattern 005 combined into one — the operational boundary and the security boundary.</w:t>
        <w:br/>
        <w:br/>
        <w:t>The OPERATIONAL BOUNDARY is the Stack — set at the Business Unit level. This is where SRE operations are anchored. This is where dashboards are shared, where BU-level governance lives, and where Alertmanager runs. The stack name — for example AZR-C03-LEND-0001 — tells you provider, region, and BU.</w:t>
        <w:br/>
        <w:br/>
        <w:t>The SECURITY BOUNDARY is the Label and Folder — set at the product level. This is where product teams are isolated. RBAC scopes what folders a user can see. LBAC filters queries at runtime based on product labels. The query engine enforces this — it is not a policy document, it is a technical control.</w:t>
        <w:br/>
        <w:br/>
        <w:t>The critical message: the same enterprise-grade security as Pattern 005 is fully preserved. The change is structural — we are simply placing these two boundaries at the right level of abstraction.</w:t>
      </w:r>
    </w:p>
    <w:p>
      <w:r>
        <w:br w:type="page"/>
      </w:r>
    </w:p>
    <w:p>
      <w:pPr>
        <w:pStyle w:val="Heading1"/>
      </w:pPr>
      <w:r>
        <w:t>Slide 7: How It Works – Personas, Ingestion, Isolation, Billing</w:t>
      </w:r>
    </w:p>
    <w:p>
      <w:r>
        <w:rPr>
          <w:b/>
        </w:rPr>
        <w:t xml:space="preserve">🖥️  Visual Cue: </w:t>
      </w:r>
      <w:r>
        <w:t>Four-section diagram: ① Personas (Developer, DevOps/SRE, BU Owner), ② Grafana Alloy label enforcement, ③ LBAC + RBAC controls, ④ Per-product billing without per-stack.</w:t>
      </w:r>
    </w:p>
    <w:p>
      <w:r>
        <w:rPr>
          <w:b/>
        </w:rPr>
        <w:t xml:space="preserve">⏱️  Estimated Time: </w:t>
      </w:r>
      <w:r>
        <w:t>~4 minutes</w:t>
      </w:r>
    </w:p>
    <w:p>
      <w:r>
        <w:rPr>
          <w:b/>
        </w:rPr>
        <w:t xml:space="preserve">🎯  Key Points to Emphasize: </w:t>
      </w:r>
      <w:r>
        <w:t>No labels no entry | query-engine enforcement not a convention | 100% attribution</w:t>
      </w:r>
    </w:p>
    <w:p/>
    <w:p>
      <w:r>
        <w:rPr>
          <w:b/>
          <w:sz w:val="24"/>
        </w:rPr>
        <w:t>📢  WHAT TO SAY:</w:t>
      </w:r>
    </w:p>
    <w:p>
      <w:r>
        <w:t>This slide shows the four mechanisms that make BU-level consolidation work in practice. Let me walk through each.</w:t>
        <w:br/>
        <w:br/>
        <w:t>FIRST — Personas. We designed around three user types. A Developer sees only their product's data — folder-scoped by LBAC with a label like 'product equals laserpro'. A DevOps or SRE engineer gets cross-product access within their BU for incident correlation. A BU Owner gets access to the billing folder for cost showback. Every access pattern is by design.</w:t>
        <w:br/>
        <w:br/>
        <w:t>SECOND — Grafana Alloy as the label enforcement gate. Our policy is simple: 'No labels, no entry.' Alloy injects four mandatory labels at the edge — bu, product, env, and region. Telemetry that arrives without these labels is rejected at the collector. This guarantees 100% attribution before data ever reaches the cloud.</w:t>
        <w:br/>
        <w:br/>
        <w:t>THIRD — LBAC plus RBAC replaces physical stack boundaries. RBAC controls which folders a user can see in the UI — a LoanIQ folder is simply hidden from the LaserPro team. LBAC filters data at PromQL and LogQL execution time. A LaserPro query cannot return LoanIQ data. Period. This is a query-engine enforcement, not a convention.</w:t>
        <w:br/>
        <w:br/>
        <w:t>FOURTH — Per-product billing without per-stack overhead. Because every byte of telemetry carries a product label, we can run a query filtered to any product and get exact usage metrics — active series, log volume in GB per month, trace spans. Ten products in one stack, and each product's cost is still accurately attributable to its P&amp;L.</w:t>
        <w:br/>
        <w:br/>
        <w:t>This is the complete technical case for why consolidation is safe.</w:t>
      </w:r>
    </w:p>
    <w:p>
      <w:r>
        <w:br w:type="page"/>
      </w:r>
    </w:p>
    <w:p>
      <w:pPr>
        <w:pStyle w:val="Heading1"/>
      </w:pPr>
      <w:r>
        <w:t>Slide 8: Architecture Overview – High-Level Architecture</w:t>
      </w:r>
    </w:p>
    <w:p>
      <w:r>
        <w:rPr>
          <w:b/>
        </w:rPr>
        <w:t xml:space="preserve">🖥️  Visual Cue: </w:t>
      </w:r>
      <w:r>
        <w:t>End-to-end architecture diagram: Users &amp; Identity → GitOps Control Plane → Telemetry Ingestion via Alloy → BU-Aligned Grafana Cloud Stacks.</w:t>
      </w:r>
    </w:p>
    <w:p>
      <w:r>
        <w:rPr>
          <w:b/>
        </w:rPr>
        <w:t xml:space="preserve">⏱️  Estimated Time: </w:t>
      </w:r>
      <w:r>
        <w:t>~3 minutes</w:t>
      </w:r>
    </w:p>
    <w:p>
      <w:r>
        <w:rPr>
          <w:b/>
        </w:rPr>
        <w:t xml:space="preserve">🎯  Key Points to Emphasize: </w:t>
      </w:r>
      <w:r>
        <w:t>Zero click-ops | data quality gate | single Finastra org is preserved</w:t>
      </w:r>
    </w:p>
    <w:p/>
    <w:p>
      <w:r>
        <w:rPr>
          <w:b/>
          <w:sz w:val="24"/>
        </w:rPr>
        <w:t>📢  WHAT TO SAY:</w:t>
      </w:r>
    </w:p>
    <w:p>
      <w:r>
        <w:t>This is the full architecture diagram — the end-to-end view.</w:t>
        <w:br/>
        <w:br/>
        <w:t>Read it left to right. On the far left, we have our users — authenticated through Azure Entra ID. Every access is tied to Entra group membership. There is no manual role assignment.</w:t>
        <w:br/>
        <w:br/>
        <w:t>Moving right, we have the GitOps Control Plane. GitHub and Terraform Cloud govern every change. Zero click-ops means no human is clicking buttons in the Grafana UI to make configuration changes. Every change is a Pull Request.</w:t>
        <w:br/>
        <w:br/>
        <w:t>Next, the Telemetry Ingestion tier. Grafana Alloy collectors sit close to the workloads and enforce our label taxonomy before telemetry enters the cloud. This is our data quality gate.</w:t>
        <w:br/>
        <w:br/>
        <w:t>Finally on the right, the 5 to 6 BU-aligned Grafana Cloud stacks — inherited from Pattern 005's single Finastra org, now restructured at the BU level.</w:t>
        <w:br/>
        <w:br/>
        <w:t>Key takeaways from this slide: single Finastra org is preserved, GitOps is everywhere, labels are enforced at the edge, and Backstage serves as the developer portal entry point for discovery.</w:t>
      </w:r>
    </w:p>
    <w:p>
      <w:r>
        <w:br w:type="page"/>
      </w:r>
    </w:p>
    <w:p>
      <w:pPr>
        <w:pStyle w:val="Heading1"/>
      </w:pPr>
      <w:r>
        <w:t>Slide 9: Structure – BU-Aligned Org Structure</w:t>
      </w:r>
    </w:p>
    <w:p>
      <w:r>
        <w:rPr>
          <w:b/>
        </w:rPr>
        <w:t xml:space="preserve">🖥️  Visual Cue: </w:t>
      </w:r>
      <w:r>
        <w:t>Org structure diagram showing five Business Units — Lending, Payment, Universal Banking, Fintech Partner, Shared Services — each with product folders inside.</w:t>
      </w:r>
    </w:p>
    <w:p>
      <w:r>
        <w:rPr>
          <w:b/>
        </w:rPr>
        <w:t xml:space="preserve">⏱️  Estimated Time: </w:t>
      </w:r>
      <w:r>
        <w:t>~2.5 minutes</w:t>
      </w:r>
    </w:p>
    <w:p>
      <w:r>
        <w:rPr>
          <w:b/>
        </w:rPr>
        <w:t xml:space="preserve">🎯  Key Points to Emphasize: </w:t>
      </w:r>
      <w:r>
        <w:t>Logical isolation replaces physical separation | teams retain self-service | PCI-DSS carve-outs remain</w:t>
      </w:r>
    </w:p>
    <w:p/>
    <w:p>
      <w:r>
        <w:rPr>
          <w:b/>
          <w:sz w:val="24"/>
        </w:rPr>
        <w:t>📢  WHAT TO SAY:</w:t>
      </w:r>
    </w:p>
    <w:p>
      <w:r>
        <w:t>This slide shows the concrete org structure — what Pattern 006 actually looks like inside Grafana Cloud.</w:t>
        <w:br/>
        <w:br/>
        <w:t>We have five Business Units: Lending, Payment, Universal Banking, Fintech Partner, and a Shared Services stack. Within each BU stack, products exist as folders — Logical isolation replaces physical separation.</w:t>
        <w:br/>
        <w:br/>
        <w:t>A few important design decisions here:</w:t>
        <w:br/>
        <w:br/>
        <w:t>Multi-region is supported where required. Pay2Go, for example, spans a US stack and an EU stack due to GDPR requirements. The architecture handles this natively.</w:t>
        <w:br/>
        <w:br/>
        <w:t>Teams retain self-service through Editor RBAC within their own product folder. Pattern 006 does not reduce team autonomy — it preserves it within a governed structure.</w:t>
        <w:br/>
        <w:br/>
        <w:t>And critically — Pattern 005 carve-outs remain. PCI-DSS workloads that have strict physical isolation requirements stay in their own isolated stacks. We are not forcing consolidation where compliance forbids it.</w:t>
      </w:r>
    </w:p>
    <w:p>
      <w:r>
        <w:br w:type="page"/>
      </w:r>
    </w:p>
    <w:p>
      <w:pPr>
        <w:pStyle w:val="Heading1"/>
      </w:pPr>
      <w:r>
        <w:t>Slide 10: Naming – Naming Convention</w:t>
      </w:r>
    </w:p>
    <w:p>
      <w:r>
        <w:rPr>
          <w:b/>
        </w:rPr>
        <w:t xml:space="preserve">🖥️  Visual Cue: </w:t>
      </w:r>
      <w:r>
        <w:t>Naming convention breakdown diagram showing: Provider-Region-BU-Index format. Example: AZR-C03-LEND-0001.</w:t>
      </w:r>
    </w:p>
    <w:p>
      <w:r>
        <w:rPr>
          <w:b/>
        </w:rPr>
        <w:t xml:space="preserve">⏱️  Estimated Time: </w:t>
      </w:r>
      <w:r>
        <w:t>~2 minutes</w:t>
      </w:r>
    </w:p>
    <w:p>
      <w:r>
        <w:rPr>
          <w:b/>
        </w:rPr>
        <w:t xml:space="preserve">🎯  Key Points to Emphasize: </w:t>
      </w:r>
      <w:r>
        <w:t>precisely one structural change | env is a label never a stack name | supports horizontal scaling</w:t>
      </w:r>
    </w:p>
    <w:p/>
    <w:p>
      <w:r>
        <w:rPr>
          <w:b/>
          <w:sz w:val="24"/>
        </w:rPr>
        <w:t>📢  WHAT TO SAY:</w:t>
      </w:r>
    </w:p>
    <w:p>
      <w:r>
        <w:t>The naming convention is deliberately minimal in its changes from Pattern 005. There is precisely one structural change.</w:t>
        <w:br/>
        <w:br/>
        <w:t>The format is: Provider dash Region dash BU dash Index.</w:t>
        <w:br/>
        <w:br/>
        <w:t>For example: AZR-C03-LEND-0001. AZR means Azure. C03 is the region — Central US 03. LEND is the Business Unit — Lending. And 0001 is the index, which supports horizontal scaling if we ever need a second Lending stack.</w:t>
        <w:br/>
        <w:br/>
        <w:t>What is unchanged: the provider identifiers — AZR, AWS, GCP — remain the same naming API. The region codes are unchanged. The index is unchanged.</w:t>
        <w:br/>
        <w:br/>
        <w:t>What changed: the Product ID tier from Pattern 005 is replaced by the Business Unit tier. That is the only change.</w:t>
        <w:br/>
        <w:br/>
        <w:t>One important note on environments: 'env' is a label, never part of the stack name. This was true in Pattern 005 and remains true in Pattern 006. Dev, Stage, and Prod are not separate stacks — they are dimensions within the same BU stack, distinguished by the 'env' label on telemetry.</w:t>
      </w:r>
    </w:p>
    <w:p>
      <w:r>
        <w:br w:type="page"/>
      </w:r>
    </w:p>
    <w:p>
      <w:pPr>
        <w:pStyle w:val="Heading1"/>
      </w:pPr>
      <w:r>
        <w:t>Slide 11: Access Control – Identity-to-Stack Mapping</w:t>
      </w:r>
    </w:p>
    <w:p>
      <w:r>
        <w:rPr>
          <w:b/>
        </w:rPr>
        <w:t xml:space="preserve">🖥️  Visual Cue: </w:t>
      </w:r>
      <w:r>
        <w:t>Worked example for 'Jane', a LaserPro engineer in the Lending BU. Shows Entra ID group membership flowing through to RBAC folder access and LBAC query filtering.</w:t>
      </w:r>
    </w:p>
    <w:p>
      <w:r>
        <w:rPr>
          <w:b/>
        </w:rPr>
        <w:t xml:space="preserve">⏱️  Estimated Time: </w:t>
      </w:r>
      <w:r>
        <w:t>~2.5 minutes</w:t>
      </w:r>
    </w:p>
    <w:p>
      <w:r>
        <w:rPr>
          <w:b/>
        </w:rPr>
        <w:t xml:space="preserve">🎯  Key Points to Emphasize: </w:t>
      </w:r>
      <w:r>
        <w:t>hidden from view by RBAC | query engine returns zero results — structurally | single group change</w:t>
      </w:r>
    </w:p>
    <w:p/>
    <w:p>
      <w:r>
        <w:rPr>
          <w:b/>
          <w:sz w:val="24"/>
        </w:rPr>
        <w:t>📢  WHAT TO SAY:</w:t>
      </w:r>
    </w:p>
    <w:p>
      <w:r>
        <w:t>Let me make access control concrete with a worked example — meet Jane, a LaserPro engineer in the Lending BU.</w:t>
        <w:br/>
        <w:br/>
        <w:t>Jane authenticates via Azure Entra ID — the single source of truth for identity, inherited from Pattern 005. Her Entra group membership automatically provisions her RBAC and LBAC configuration.</w:t>
        <w:br/>
        <w:br/>
        <w:t>In the Grafana UI, Jane sees the Lending BU stack. Within it, she sees only the LaserPro folder. The LoanIQ folder is hidden from her view by RBAC — it doesn't even appear in her navigation.</w:t>
        <w:br/>
        <w:br/>
        <w:t>When Jane runs a query, LBAC filters at the query engine level. Even if she crafted a PromQL query attempting to access LoanIQ data, the query engine would return zero results. She cannot see LoanIQ data — structurally, not by convention.</w:t>
        <w:br/>
        <w:br/>
        <w:t>For SRE variant access — an SRE who needs multi-product visibility gets a different Entra group membership that grants access to multiple product folders within the BU. Single group change, automatic propagation. Zero manual stack access management.</w:t>
        <w:br/>
        <w:br/>
        <w:t>This is the power of anchoring identity in Entra ID and automating everything downstream.</w:t>
      </w:r>
    </w:p>
    <w:p>
      <w:r>
        <w:br w:type="page"/>
      </w:r>
    </w:p>
    <w:p>
      <w:pPr>
        <w:pStyle w:val="Heading1"/>
      </w:pPr>
      <w:r>
        <w:t>Slide 12: Multi-Region – Region as a Dimension</w:t>
      </w:r>
    </w:p>
    <w:p>
      <w:r>
        <w:rPr>
          <w:b/>
        </w:rPr>
        <w:t xml:space="preserve">🖥️  Visual Cue: </w:t>
      </w:r>
      <w:r>
        <w:t>Side-by-side comparison: LoanIQ (single-region, 1 stack) vs Pay2Go (multi-region, 2 stacks — US and EU). Both achieve Single Pane of Glass via mixed datasources.</w:t>
      </w:r>
    </w:p>
    <w:p>
      <w:r>
        <w:rPr>
          <w:b/>
        </w:rPr>
        <w:t xml:space="preserve">⏱️  Estimated Time: </w:t>
      </w:r>
      <w:r>
        <w:t>~2.5 minutes</w:t>
      </w:r>
    </w:p>
    <w:p>
      <w:r>
        <w:rPr>
          <w:b/>
        </w:rPr>
        <w:t xml:space="preserve">🎯  Key Points to Emphasize: </w:t>
      </w:r>
      <w:r>
        <w:t>region in two places | GDPR data residency satisfied | true Single Pane of Glass</w:t>
      </w:r>
    </w:p>
    <w:p/>
    <w:p>
      <w:r>
        <w:rPr>
          <w:b/>
          <w:sz w:val="24"/>
        </w:rPr>
        <w:t>📢  WHAT TO SAY:</w:t>
      </w:r>
    </w:p>
    <w:p>
      <w:r>
        <w:t>This slide addresses one of the most common questions we received: how does multi-region work in Pattern 006?</w:t>
        <w:br/>
        <w:br/>
        <w:t>The answer is that region appears in two places — the stack name for hosting, and the 'region' label on telemetry for filtering.</w:t>
        <w:br/>
        <w:br/>
        <w:t>Let me show you two contrasting examples.</w:t>
        <w:br/>
        <w:br/>
        <w:t>LoanIQ is a single-region product. It lives in one Lending BU stack. Regional visibility is achieved simply through a region dropdown filter in the dashboard. Simple.</w:t>
        <w:br/>
        <w:br/>
        <w:t>Pay2Go is multi-region due to GDPR requirements. It spans two stacks — a US stack and an EU stack. Raw user data stays in its regional boundary, satisfying data residency requirements. But for operational visibility, we use mixed datasources — a single Grafana dashboard can query both the US and EU stacks simultaneously. Pay2Go SREs get a true Single Pane of Glass view across all regions in one dashboard, instead of context-switching between four separate stacks as they do today.</w:t>
        <w:br/>
        <w:br/>
        <w:t>This is a direct fix to one of our five architectural debt dimensions I mentioned earlier.</w:t>
      </w:r>
    </w:p>
    <w:p>
      <w:r>
        <w:br w:type="page"/>
      </w:r>
    </w:p>
    <w:p>
      <w:pPr>
        <w:pStyle w:val="Heading1"/>
      </w:pPr>
      <w:r>
        <w:t>Slide 13: Alert Isolation – Hardened Alertmanager Flow</w:t>
      </w:r>
    </w:p>
    <w:p>
      <w:r>
        <w:rPr>
          <w:b/>
        </w:rPr>
        <w:t xml:space="preserve">🖥️  Visual Cue: </w:t>
      </w:r>
      <w:r>
        <w:t>Alertmanager flow diagram showing four guardrails: Family Isolation via alert_family label, Identity Matching, Jira vs OnCall routing separation, GitOps enforcement.</w:t>
      </w:r>
    </w:p>
    <w:p>
      <w:r>
        <w:rPr>
          <w:b/>
        </w:rPr>
        <w:t xml:space="preserve">⏱️  Estimated Time: </w:t>
      </w:r>
      <w:r>
        <w:t>~3 minutes</w:t>
      </w:r>
    </w:p>
    <w:p>
      <w:r>
        <w:rPr>
          <w:b/>
        </w:rPr>
        <w:t xml:space="preserve">🎯  Key Points to Emphasize: </w:t>
      </w:r>
      <w:r>
        <w:t>architecturally impossible | mathematically enforced | enforcement by design not convention</w:t>
      </w:r>
    </w:p>
    <w:p/>
    <w:p>
      <w:r>
        <w:rPr>
          <w:b/>
          <w:sz w:val="24"/>
        </w:rPr>
        <w:t>📢  WHAT TO SAY:</w:t>
      </w:r>
    </w:p>
    <w:p>
      <w:r>
        <w:t>Shared Alertmanager in a consolidated stack raises an immediate concern: what happens if one product's alert rules interfere with another product's alerts? This is the cross-tenant contamination problem.</w:t>
        <w:br/>
        <w:br/>
        <w:t>Pattern 006 solves this with a Hardened Alertmanager Flow built on four guardrails.</w:t>
        <w:br/>
        <w:br/>
        <w:t>FIRST — Family Isolation. Every alert must carry an 'alert_family' label. Inhibition rules — which suppress lower-severity alerts when a high-severity alert fires — only operate within the same alert family. A LaserPro alert can never suppress a LoanIQ alert. It is architecturally impossible.</w:t>
        <w:br/>
        <w:br/>
        <w:t>SECOND — Identity Matching. Inhibition rules require equal matching on namespace, cluster, and name. An alert from LaserPro can only suppress another LaserPro alert in the same cluster with the same name. The boundaries are mathematically enforced.</w:t>
        <w:br/>
        <w:br/>
        <w:t>THIRD — Jira versus OnCall routing separation. Ticket generation is completely decoupled from paging. This means a storm of low-severity Jira tickets from one team cannot affect the paging behavior for another team's critical incident.</w:t>
        <w:br/>
        <w:br/>
        <w:t>FOURTH — GitOps enforcement. Alert rules that don't carry the required labels are rejected at the Pull Request stage. Unlabeled rules never reach production. This is enforcement by design, not by convention.</w:t>
        <w:br/>
        <w:br/>
        <w:t>The bottom line: we get shared infrastructure without shared risk.</w:t>
      </w:r>
    </w:p>
    <w:p>
      <w:r>
        <w:br w:type="page"/>
      </w:r>
    </w:p>
    <w:p>
      <w:pPr>
        <w:pStyle w:val="Heading1"/>
      </w:pPr>
      <w:r>
        <w:t>Slide 14: GitOps – GitOps Management Flow</w:t>
      </w:r>
    </w:p>
    <w:p>
      <w:r>
        <w:rPr>
          <w:b/>
        </w:rPr>
        <w:t xml:space="preserve">🖥️  Visual Cue: </w:t>
      </w:r>
      <w:r>
        <w:t>GitOps flow diagram: Contributor → GitHub PR → CODEOWNER approval → Terraform Cloud → Grafana Cloud API. Mechanically identical to Pattern 005.</w:t>
      </w:r>
    </w:p>
    <w:p>
      <w:r>
        <w:rPr>
          <w:b/>
        </w:rPr>
        <w:t xml:space="preserve">⏱️  Estimated Time: </w:t>
      </w:r>
      <w:r>
        <w:t>~2 minutes</w:t>
      </w:r>
    </w:p>
    <w:p>
      <w:r>
        <w:rPr>
          <w:b/>
        </w:rPr>
        <w:t xml:space="preserve">🎯  Key Points to Emphasize: </w:t>
      </w:r>
      <w:r>
        <w:t>mechanically identical | full audit history | idempotent — zero drift</w:t>
      </w:r>
    </w:p>
    <w:p/>
    <w:p>
      <w:r>
        <w:rPr>
          <w:b/>
          <w:sz w:val="24"/>
        </w:rPr>
        <w:t>📢  WHAT TO SAY:</w:t>
      </w:r>
    </w:p>
    <w:p>
      <w:r>
        <w:t>Good news for operations teams — the GitOps management flow in Pattern 006 is mechanically identical to Pattern 005. There is nothing new to learn here.</w:t>
        <w:br/>
        <w:br/>
        <w:t>The flow is: a contributor makes a change and opens a Pull Request in GitHub. CODEOWNERS review and approve. Terraform Cloud picks up the change and executes the provisioning against the Grafana Cloud API.</w:t>
        <w:br/>
        <w:br/>
        <w:t>Every change is auditable — you have a full Git history of who changed what, when, and why. Every change requires CODEOWNER approval — no unilateral modifications. Every change is idempotent — re-running Terraform produces zero drift.</w:t>
        <w:br/>
        <w:br/>
        <w:t>The only difference in Pattern 006 is that we are now provisioning BU-level stack resources instead of per-product stack resources. The workflow, the tooling, and the controls are identical.</w:t>
        <w:br/>
        <w:br/>
        <w:t>Teams already familiar with Pattern 005 operations can onboard to Pattern 006 operations immediately.</w:t>
      </w:r>
    </w:p>
    <w:p>
      <w:r>
        <w:br w:type="page"/>
      </w:r>
    </w:p>
    <w:p>
      <w:pPr>
        <w:pStyle w:val="Heading1"/>
      </w:pPr>
      <w:r>
        <w:t>Slide 15: Migration Path – Five-Phase Adoption Strategy</w:t>
      </w:r>
    </w:p>
    <w:p>
      <w:r>
        <w:rPr>
          <w:b/>
        </w:rPr>
        <w:t xml:space="preserve">🖥️  Visual Cue: </w:t>
      </w:r>
      <w:r>
        <w:t>Five-phase timeline: Phase 0 (Preparation, Week 0), Phase 1 (Provision, Weeks 1-2), Phase 2 (Dual-Write, Weeks 3-6), Phase 3 (Migrate, Weeks 7-10), Phase 4 (Deprecate, Week 11+).</w:t>
      </w:r>
    </w:p>
    <w:p>
      <w:r>
        <w:rPr>
          <w:b/>
        </w:rPr>
        <w:t xml:space="preserve">⏱️  Estimated Time: </w:t>
      </w:r>
      <w:r>
        <w:t>~3 minutes</w:t>
      </w:r>
    </w:p>
    <w:p>
      <w:r>
        <w:rPr>
          <w:b/>
        </w:rPr>
        <w:t xml:space="preserve">🎯  Key Points to Emphasize: </w:t>
      </w:r>
      <w:r>
        <w:t>zero disruption | rollback possible through Phase 3 | sixty-day grace period</w:t>
      </w:r>
    </w:p>
    <w:p/>
    <w:p>
      <w:r>
        <w:rPr>
          <w:b/>
          <w:sz w:val="24"/>
        </w:rPr>
        <w:t>📢  WHAT TO SAY:</w:t>
      </w:r>
    </w:p>
    <w:p>
      <w:r>
        <w:t>Migration to Pattern 006 follows a five-phase strategy specifically designed for zero disruption. Old and new stacks coexist throughout most of the migration, and rollback is possible through Phase 3.</w:t>
        <w:br/>
        <w:br/>
        <w:t>PHASE ZERO — Preparation. Week zero. We do architectural alignment with all stakeholders and set up a sandbox BU stack. No production impact.</w:t>
        <w:br/>
        <w:br/>
        <w:t>PHASE ONE — Provision. Weeks one and two. We provision the new BU-aligned stacks. They are empty at this point. Zero production impact. Rollback is trivially available — just decommission the empty stacks.</w:t>
        <w:br/>
        <w:br/>
        <w:t>PHASE TWO — Dual-Write. Weeks three through six. This is the critical phase. Grafana Alloy is configured to write telemetry to both the old per-product stacks and the new BU stacks simultaneously. Teams can begin validating the new environment without abandoning the old one.</w:t>
        <w:br/>
        <w:br/>
        <w:t>PHASE THREE — Migrate. Weeks seven through ten. Teams officially cut over to the new BU stacks. This is the last rollback point — we can revert Alloy to single-write if issues arise.</w:t>
        <w:br/>
        <w:br/>
        <w:t>PHASE FOUR — Deprecate. Week eleven onwards. A sixty-day grace period during which the old Pattern 005 stacks remain accessible but receive no new data. After sixty days, they are decommissioned.</w:t>
        <w:br/>
        <w:br/>
        <w:t>The total migration window is approximately twelve weeks with a safety net throughout.</w:t>
      </w:r>
    </w:p>
    <w:p>
      <w:r>
        <w:br w:type="page"/>
      </w:r>
    </w:p>
    <w:p>
      <w:pPr>
        <w:pStyle w:val="Heading1"/>
      </w:pPr>
      <w:r>
        <w:t>Slide 16: The Bottom Line – Pattern 006 Sets Finastra Up to Scale</w:t>
      </w:r>
    </w:p>
    <w:p>
      <w:r>
        <w:rPr>
          <w:b/>
        </w:rPr>
        <w:t xml:space="preserve">🖥️  Visual Cue: </w:t>
      </w:r>
      <w:r>
        <w:t>Summary metrics: 95% fewer stacks, 1 policy for SRE multi-product, Native cross-tier views. Stakeholder Q&amp;A resolved. Next steps listed.</w:t>
      </w:r>
    </w:p>
    <w:p>
      <w:r>
        <w:rPr>
          <w:b/>
        </w:rPr>
        <w:t xml:space="preserve">⏱️  Estimated Time: </w:t>
      </w:r>
      <w:r>
        <w:t>~2 minutes</w:t>
      </w:r>
    </w:p>
    <w:p>
      <w:r>
        <w:rPr>
          <w:b/>
        </w:rPr>
        <w:t xml:space="preserve">🎯  Key Points to Emphasize: </w:t>
      </w:r>
      <w:r>
        <w:t>95% fewer stacks | all four stakeholder concerns resolved | finalize by June 30th</w:t>
      </w:r>
    </w:p>
    <w:p/>
    <w:p>
      <w:r>
        <w:rPr>
          <w:b/>
          <w:sz w:val="24"/>
        </w:rPr>
        <w:t>📢  WHAT TO SAY:</w:t>
      </w:r>
    </w:p>
    <w:p>
      <w:r>
        <w:t>Let me close with the bottom line.</w:t>
        <w:br/>
        <w:br/>
        <w:t>Pattern 006 delivers three transformative outcomes:</w:t>
        <w:br/>
        <w:br/>
        <w:t>95% fewer stacks. We go from over 100 per-product stacks to 5 to 6 BU-aligned stacks. That is a 95% reduction in operational surface area.</w:t>
        <w:br/>
        <w:br/>
        <w:t>One unified SRE policy for multi-product access. Instead of managing dozens of role mappings, a single Entra group change gives an SRE the cross-product visibility they need.</w:t>
        <w:br/>
        <w:br/>
        <w:t>Native cross-tier views. Dev, Stage, and Prod can be overlaid in a single dashboard for the first time. Regression detection moves left in the development lifecycle.</w:t>
        <w:br/>
        <w:br/>
        <w:t>I also want to confirm that all four stakeholder concerns raised in earlier reviews are now resolved — the questions around which stack a user accesses, multi-region Single Pane of Glass, whether region is a label or a boundary, and Alertmanager behavior in a shared stack — all answered definitively in this architecture.</w:t>
        <w:br/>
        <w:br/>
        <w:t>NEXT STEPS: Our immediate actions are a design review with Vladimir Babichev, an alignment call with Enterprise Monitoring, and a target to finalize by June 30th.</w:t>
        <w:br/>
        <w:br/>
        <w:t>I'm happy to take questions now. Thank you.</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