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drawing>
          <wp:inline xmlns:a="http://schemas.openxmlformats.org/drawingml/2006/main" xmlns:pic="http://schemas.openxmlformats.org/drawingml/2006/picture">
            <wp:extent cx="1600200" cy="411880"/>
            <wp:docPr id="1" name="Picture 1"/>
            <wp:cNvGraphicFramePr>
              <a:graphicFrameLocks noChangeAspect="1"/>
            </wp:cNvGraphicFramePr>
            <a:graphic>
              <a:graphicData uri="http://schemas.openxmlformats.org/drawingml/2006/picture">
                <pic:pic>
                  <pic:nvPicPr>
                    <pic:cNvPr id="0" name="parakeet-communities-logo-trimmed.png"/>
                    <pic:cNvPicPr/>
                  </pic:nvPicPr>
                  <pic:blipFill>
                    <a:blip r:embed="rId9"/>
                    <a:stretch>
                      <a:fillRect/>
                    </a:stretch>
                  </pic:blipFill>
                  <pic:spPr>
                    <a:xfrm>
                      <a:off x="0" y="0"/>
                      <a:ext cx="1600200" cy="411880"/>
                    </a:xfrm>
                    <a:prstGeom prst="rect"/>
                  </pic:spPr>
                </pic:pic>
              </a:graphicData>
            </a:graphic>
          </wp:inline>
        </w:drawing>
      </w:r>
    </w:p>
    <w:p>
      <w:pPr>
        <w:spacing w:after="0"/>
      </w:pPr>
      <w:r>
        <w:rPr>
          <w:rFonts w:ascii="Calibri" w:hAnsi="Calibri"/>
          <w:b/>
          <w:i w:val="0"/>
          <w:color w:val="2F4E65"/>
          <w:sz w:val="52"/>
        </w:rPr>
        <w:t>Vantage Oaks</w:t>
      </w:r>
    </w:p>
    <w:p>
      <w:pPr>
        <w:spacing w:after="160"/>
      </w:pPr>
      <w:r>
        <w:rPr>
          <w:rFonts w:ascii="Calibri" w:hAnsi="Calibri"/>
          <w:b/>
          <w:i w:val="0"/>
          <w:color w:val="4ABA81"/>
          <w:sz w:val="26"/>
        </w:rPr>
        <w:t>Visit notes  ·  August 2026 portfolio roadtrip</w:t>
      </w:r>
    </w:p>
    <w:p>
      <w:pPr>
        <w:spacing w:after="40"/>
      </w:pPr>
      <w:r>
        <w:rPr>
          <w:rFonts w:ascii="Calibri" w:hAnsi="Calibri"/>
          <w:b w:val="0"/>
          <w:i w:val="0"/>
          <w:color w:val="8FA3B2"/>
          <w:sz w:val="19"/>
        </w:rPr>
        <w:t>Okeechobee, FL   |   253 units   |   JREF I   |   Regional manager: Ashlyne Godinez</w:t>
      </w:r>
    </w:p>
    <w:p>
      <w:pPr>
        <w:spacing w:after="200"/>
      </w:pPr>
      <w:r>
        <w:rPr>
          <w:rFonts w:ascii="Calibri" w:hAnsi="Calibri"/>
          <w:b/>
          <w:i w:val="0"/>
          <w:color w:val="2F4E65"/>
          <w:sz w:val="20"/>
        </w:rPr>
        <w:t>16 items logged</w:t>
      </w:r>
      <w:r>
        <w:rPr>
          <w:rFonts w:ascii="Calibri" w:hAnsi="Calibri"/>
          <w:b w:val="0"/>
          <w:i w:val="0"/>
          <w:color w:val="2F4E65"/>
          <w:sz w:val="20"/>
        </w:rPr>
        <w:t xml:space="preserve">   ·   3 waiting on a decision   ·   2 working well</w:t>
      </w:r>
    </w:p>
    <w:p>
      <w:pPr>
        <w:spacing w:after="200"/>
      </w:pPr>
      <w:r>
        <w:rPr>
          <w:rFonts w:ascii="Calibri" w:hAnsi="Calibri"/>
          <w:b w:val="0"/>
          <w:i w:val="0"/>
          <w:color w:val="2F4E65"/>
          <w:sz w:val="20"/>
        </w:rPr>
        <w:t>These are our notes from the visit, straight from the walk-through and the conversation on site. Nothing here is a directive yet. If something is already done, wrong, or you disagree with it, say so — that is more useful to us than a clean list. Reference numbers are in brackets so you can quote them back.</w:t>
      </w:r>
    </w:p>
    <w:p>
      <w:pPr>
        <w:spacing w:before="160" w:after="60"/>
      </w:pPr>
      <w:r>
        <w:rPr>
          <w:rFonts w:ascii="Calibri" w:hAnsi="Calibri"/>
          <w:b/>
          <w:i w:val="0"/>
          <w:color w:val="4ABA81"/>
          <w:sz w:val="21"/>
        </w:rPr>
        <w:t>CAPITAL &amp; INFRASTRUCTURE</w:t>
      </w:r>
    </w:p>
    <w:p>
      <w:pPr>
        <w:pStyle w:val="ListBullet"/>
        <w:spacing w:after="60"/>
      </w:pPr>
      <w:r>
        <w:rPr>
          <w:rFonts w:ascii="Calibri" w:hAnsi="Calibri"/>
          <w:b w:val="0"/>
          <w:i w:val="0"/>
          <w:color w:val="2F4E65"/>
          <w:sz w:val="22"/>
        </w:rPr>
        <w:t>Paving, curbs and driveways were rebid successfully: cost came down to $683,000 from an $1,800,000 quote. Written estimates to be reviewed on receipt.</w:t>
      </w:r>
      <w:r>
        <w:rPr>
          <w:rFonts w:ascii="Calibri" w:hAnsi="Calibri"/>
          <w:b/>
          <w:i w:val="0"/>
          <w:color w:val="4ABA81"/>
          <w:sz w:val="16"/>
        </w:rPr>
        <w:t xml:space="preserve">   WORKING WELL</w:t>
      </w:r>
    </w:p>
    <w:p>
      <w:pPr>
        <w:pStyle w:val="ListBullet"/>
        <w:spacing w:after="60"/>
      </w:pPr>
      <w:r>
        <w:rPr>
          <w:rFonts w:ascii="Calibri" w:hAnsi="Calibri"/>
          <w:b w:val="0"/>
          <w:i w:val="0"/>
          <w:color w:val="2F4E65"/>
          <w:sz w:val="22"/>
        </w:rPr>
        <w:t>Flood zone concern at the back of the site is resolved: flood elevation is 20 feet, and ground grade of 16-17 feet plus the standard set height of 3.8 feet yields roughly 20.8 feet, so no elevation is required.</w:t>
      </w:r>
    </w:p>
    <w:p>
      <w:pPr>
        <w:pStyle w:val="ListBullet"/>
        <w:spacing w:after="60"/>
      </w:pPr>
      <w:r>
        <w:rPr>
          <w:rFonts w:ascii="Calibri" w:hAnsi="Calibri"/>
          <w:b w:val="0"/>
          <w:i w:val="0"/>
          <w:color w:val="2F4E65"/>
          <w:sz w:val="22"/>
        </w:rPr>
        <w:t>Electrical readiness is the critical path to occupancy. Inspector Kevin requires any 200-amp home to have a matching 200-amp pedestal and will not deviate. At Southgate, with 100-amp pedestals, the team avoided upgrades by placing the AC disconnect outside the garage, but that workaround is not acceptable in all jurisdictions. Risk flagged of homes set, surveyed and trimmed with no electric meters available.</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Large generators to power full 200-amp homes are not viable while the homes are commercially owned: adding connection points would change the wiring diagram and require permits that will not be granted. A full generator solution runs roughly $12,000 for a 3-phase unit plus connection points and stays prohibited for this phase. For open houses the plan is small portable generators for a couple of fans, windows open, purely for showing comfort until permanent power is connected.</w:t>
      </w:r>
    </w:p>
    <w:p>
      <w:pPr>
        <w:spacing w:before="160" w:after="60"/>
      </w:pPr>
      <w:r>
        <w:rPr>
          <w:rFonts w:ascii="Calibri" w:hAnsi="Calibri"/>
          <w:b/>
          <w:i w:val="0"/>
          <w:color w:val="4ABA81"/>
          <w:sz w:val="21"/>
        </w:rPr>
        <w:t>CONSTRUCTION QUALITY &amp; VENDORS</w:t>
      </w:r>
    </w:p>
    <w:p>
      <w:pPr>
        <w:pStyle w:val="ListBullet"/>
        <w:spacing w:after="60"/>
      </w:pPr>
      <w:r>
        <w:rPr>
          <w:rFonts w:ascii="Calibri" w:hAnsi="Calibri"/>
          <w:b w:val="0"/>
          <w:i w:val="0"/>
          <w:color w:val="2F4E65"/>
          <w:sz w:val="22"/>
        </w:rPr>
        <w:t>Permitting is jurisdiction-specific and inspector standards are inconsistent. In Polk County, fence replacement on commercial property can require permitting and reviews vary by zoning clerk. Okeechobee Building Department is stringent and paper-based: every permit packet needs two copies of the home's installation manual, and permits must be paid for and physically collected within 72 hours of issuance or they cancel, so the team will collect them in person. Permit processing is running three weeks behind, though all permits for current work are filed.</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Inspections caused significant rework: one inspector approved a pre-pour with a 12-inch pipe matching the street standard, and a later inspector required a 15-inch pipe and a specific concrete slope, forcing demolition, a re-pour and added sod on the slopes. Six-week delay.</w:t>
      </w:r>
    </w:p>
    <w:p>
      <w:pPr>
        <w:pStyle w:val="ListBullet"/>
        <w:spacing w:after="60"/>
      </w:pPr>
      <w:r>
        <w:rPr>
          <w:rFonts w:ascii="Calibri" w:hAnsi="Calibri"/>
          <w:b w:val="0"/>
          <w:i w:val="0"/>
          <w:color w:val="2F4E65"/>
          <w:sz w:val="22"/>
        </w:rPr>
        <w:t>Expediters declined mobile home permitting as too small and complex against large commercial work, so the approach stays relationship-driven with weekly calls to building officials such as Gage and Kevin.</w:t>
      </w:r>
    </w:p>
    <w:p>
      <w:pPr>
        <w:pStyle w:val="ListBullet"/>
        <w:spacing w:after="60"/>
      </w:pPr>
      <w:r>
        <w:rPr>
          <w:rFonts w:ascii="Calibri" w:hAnsi="Calibri"/>
          <w:b w:val="0"/>
          <w:i w:val="0"/>
          <w:color w:val="2F4E65"/>
          <w:sz w:val="22"/>
        </w:rPr>
        <w:t>Sidewalks planned at three feet wide, grassed, routed from the parking pad to the base of the home steps; installation proceeds after CO issuance. Notify Amanda of walkway scheduling once COs are physically in hand.</w:t>
      </w:r>
    </w:p>
    <w:p>
      <w:pPr>
        <w:pStyle w:val="ListBullet"/>
        <w:spacing w:after="60"/>
      </w:pPr>
      <w:r>
        <w:rPr>
          <w:rFonts w:ascii="Calibri" w:hAnsi="Calibri"/>
          <w:b w:val="0"/>
          <w:i w:val="0"/>
          <w:color w:val="2F4E65"/>
          <w:sz w:val="22"/>
        </w:rPr>
        <w:t>Each staged home is stocked with spare touch-up paint, dryer vent parts and warranty booklets consolidated in a kitchen drawer. Residents are advised to live in the home ninety days before completing the homeowner warranty punch list so issues surface through daily use. Chipped Skyline kitchen drawer fronts to be replaced under warranty.</w:t>
      </w:r>
    </w:p>
    <w:p>
      <w:pPr>
        <w:spacing w:before="160" w:after="60"/>
      </w:pPr>
      <w:r>
        <w:rPr>
          <w:rFonts w:ascii="Calibri" w:hAnsi="Calibri"/>
          <w:b/>
          <w:i w:val="0"/>
          <w:color w:val="4ABA81"/>
          <w:sz w:val="21"/>
        </w:rPr>
        <w:t>INFILL, HOMES &amp; SALES</w:t>
      </w:r>
    </w:p>
    <w:p>
      <w:pPr>
        <w:pStyle w:val="ListBullet"/>
        <w:spacing w:after="60"/>
      </w:pPr>
      <w:r>
        <w:rPr>
          <w:rFonts w:ascii="Calibri" w:hAnsi="Calibri"/>
          <w:b w:val="0"/>
          <w:i w:val="0"/>
          <w:color w:val="2F4E65"/>
          <w:sz w:val="22"/>
        </w:rPr>
        <w:t>Staging strategy: the company owns all homes on certain streets, so inventory can be staged without resident interference. Decision is to stage one home on every street to show options across floorplans, and to sell from outside units already set, offering four different plans while internal access is limited in some doubles.</w:t>
      </w:r>
    </w:p>
    <w:p>
      <w:pPr>
        <w:pStyle w:val="ListBullet"/>
        <w:spacing w:after="60"/>
      </w:pPr>
      <w:r>
        <w:rPr>
          <w:rFonts w:ascii="Calibri" w:hAnsi="Calibri"/>
          <w:b w:val="0"/>
          <w:i w:val="0"/>
          <w:color w:val="2F4E65"/>
          <w:sz w:val="22"/>
        </w:rPr>
        <w:t>Aggressive on-site marketing with fifty For Sale signs and twenty flags, plus flyer flags at end lots, negotiated with residents via $100 Amazon gift card offers where lots are not company-owned. Direct resident engagement and street-end visibility worked in prior communities.</w:t>
      </w:r>
    </w:p>
    <w:p>
      <w:pPr>
        <w:pStyle w:val="ListBullet"/>
        <w:spacing w:after="60"/>
      </w:pPr>
      <w:r>
        <w:rPr>
          <w:rFonts w:ascii="Calibri" w:hAnsi="Calibri"/>
          <w:b w:val="0"/>
          <w:i w:val="0"/>
          <w:color w:val="2F4E65"/>
          <w:sz w:val="22"/>
        </w:rPr>
        <w:t>Siding package program proposed: bulk purchasing with credits on home purchases to help owners upgrade older units and improve appearance.</w:t>
      </w:r>
    </w:p>
    <w:p>
      <w:pPr>
        <w:pStyle w:val="ListBullet"/>
        <w:spacing w:after="60"/>
      </w:pPr>
      <w:r>
        <w:rPr>
          <w:rFonts w:ascii="Calibri" w:hAnsi="Calibri"/>
          <w:b w:val="0"/>
          <w:i w:val="0"/>
          <w:color w:val="2F4E65"/>
          <w:sz w:val="22"/>
        </w:rPr>
        <w:t>Removing dilapidated and vacant lots has improved community sentiment, and two drug houses were previously removed.</w:t>
      </w:r>
      <w:r>
        <w:rPr>
          <w:rFonts w:ascii="Calibri" w:hAnsi="Calibri"/>
          <w:b/>
          <w:i w:val="0"/>
          <w:color w:val="4ABA81"/>
          <w:sz w:val="16"/>
        </w:rPr>
        <w:t xml:space="preserve">   WORKING WELL</w:t>
      </w:r>
    </w:p>
    <w:p>
      <w:pPr>
        <w:pStyle w:val="ListBullet"/>
        <w:spacing w:after="60"/>
      </w:pPr>
      <w:r>
        <w:rPr>
          <w:rFonts w:ascii="Calibri" w:hAnsi="Calibri"/>
          <w:b w:val="0"/>
          <w:i w:val="0"/>
          <w:color w:val="2F4E65"/>
          <w:sz w:val="22"/>
        </w:rPr>
        <w:t>Management is preparing for throughput of twenty new home sales per month; the back office must scale for closings, titles and paperwork alongside a pipeline of roughly 500 used-stock sales to be worked down over time.</w:t>
      </w:r>
      <w:r>
        <w:rPr>
          <w:rFonts w:ascii="Calibri" w:hAnsi="Calibri"/>
          <w:b/>
          <w:i w:val="0"/>
          <w:color w:val="C99A00"/>
          <w:sz w:val="16"/>
        </w:rPr>
        <w:t xml:space="preserve">   NEEDS A DECISION</w:t>
      </w:r>
    </w:p>
    <w:p>
      <w:pPr>
        <w:spacing w:before="160" w:after="60"/>
      </w:pPr>
      <w:r>
        <w:rPr>
          <w:rFonts w:ascii="Calibri" w:hAnsi="Calibri"/>
          <w:b/>
          <w:i w:val="0"/>
          <w:color w:val="4ABA81"/>
          <w:sz w:val="21"/>
        </w:rPr>
        <w:t>AMENITIES &amp; COMMON AREAS</w:t>
      </w:r>
    </w:p>
    <w:p>
      <w:pPr>
        <w:pStyle w:val="ListBullet"/>
        <w:spacing w:after="60"/>
      </w:pPr>
      <w:r>
        <w:rPr>
          <w:rFonts w:ascii="Calibri" w:hAnsi="Calibri"/>
          <w:b w:val="0"/>
          <w:i w:val="0"/>
          <w:color w:val="2F4E65"/>
          <w:sz w:val="22"/>
        </w:rPr>
        <w:t>Clubhouse plan is a community hub: a covered concrete pad at one end for barbecue and picnic tables, and a closed room with a sink at the other as a small kitchen. Roof was recently replaced. Traditional stove and oven equipment would trigger commercial hood and fire suppression requirements because the space is commercially classified, gas is not allowed at the facility, and a 220-volt upgrade for kitchen equipment is not feasible.</w:t>
      </w:r>
    </w:p>
    <w:p>
      <w:pPr>
        <w:pStyle w:val="ListBullet"/>
        <w:spacing w:after="60"/>
      </w:pPr>
      <w:r>
        <w:rPr>
          <w:rFonts w:ascii="Calibri" w:hAnsi="Calibri"/>
          <w:b w:val="0"/>
          <w:i w:val="0"/>
          <w:color w:val="2F4E65"/>
          <w:sz w:val="22"/>
        </w:rPr>
        <w:t>Kitchen and stove outlet issue to be resolved with Chris in the near term.</w:t>
      </w:r>
    </w:p>
    <w:p>
      <w:pPr>
        <w:spacing w:before="280"/>
      </w:pPr>
      <w:r>
        <w:rPr>
          <w:rFonts w:ascii="Calibri" w:hAnsi="Calibri"/>
          <w:b/>
          <w:i w:val="0"/>
          <w:color w:val="4ABA81"/>
          <w:sz w:val="21"/>
        </w:rPr>
        <w:t>WHAT WE NEED BACK FROM YOU</w:t>
      </w:r>
    </w:p>
    <w:p>
      <w:r>
        <w:rPr>
          <w:rFonts w:ascii="Calibri" w:hAnsi="Calibri"/>
          <w:b w:val="0"/>
          <w:i w:val="0"/>
          <w:color w:val="2F4E65"/>
          <w:sz w:val="20"/>
        </w:rPr>
        <w:t xml:space="preserve">Send corrections and status to your regional manager, </w:t>
      </w:r>
      <w:r>
        <w:rPr>
          <w:rFonts w:ascii="Calibri" w:hAnsi="Calibri"/>
          <w:b/>
          <w:i w:val="0"/>
          <w:color w:val="2F4E65"/>
          <w:sz w:val="20"/>
        </w:rPr>
        <w:t>Ashlyne Godinez</w:t>
      </w:r>
      <w:r>
        <w:rPr>
          <w:rFonts w:ascii="Calibri" w:hAnsi="Calibri"/>
          <w:b w:val="0"/>
          <w:i w:val="0"/>
          <w:color w:val="2F4E65"/>
          <w:sz w:val="20"/>
        </w:rPr>
        <w:t>. Quote the reference number. Three things help most: what is already finished, what is wrong on this list, and what you would put first if you could only pick one.</w:t>
      </w:r>
    </w:p>
    <w:p>
      <w:pPr>
        <w:spacing w:before="160"/>
      </w:pPr>
      <w:r>
        <w:rPr>
          <w:rFonts w:ascii="Calibri" w:hAnsi="Calibri"/>
          <w:b w:val="0"/>
          <w:i/>
          <w:color w:val="8FA3B2"/>
          <w:sz w:val="17"/>
        </w:rPr>
        <w:t>Source: August 2026 portfolio roadtrip, site punch list and visit notes, Aug 17‑23, 2026. Compiled 2026-09-02.</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