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Whispering Pines FL</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Titusville, FL   |   202 units   |   JREF I   |   Regional manager: Ashlyne Godinez</w:t>
      </w:r>
    </w:p>
    <w:p>
      <w:pPr>
        <w:spacing w:after="200"/>
      </w:pPr>
      <w:r>
        <w:rPr>
          <w:rFonts w:ascii="Calibri" w:hAnsi="Calibri"/>
          <w:b/>
          <w:i w:val="0"/>
          <w:color w:val="2F4E65"/>
          <w:sz w:val="20"/>
        </w:rPr>
        <w:t>6 items logged</w:t>
      </w:r>
      <w:r>
        <w:rPr>
          <w:rFonts w:ascii="Calibri" w:hAnsi="Calibri"/>
          <w:b w:val="0"/>
          <w:i w:val="0"/>
          <w:color w:val="2F4E65"/>
          <w:sz w:val="20"/>
        </w:rPr>
        <w:t xml:space="preserve">   ·   4 waiting on a decision   ·   1 for next year’s budget</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Significant electrical upgrades needed across the community. Installing new homes may require upgrading the main service, a larger cost than pedestal upgrades, and the electrical company reportedly requires a full community upgrade moving all services underground to meet current code. This affects roughly 64 of 100 sites with substantial added cost per site. Whether the utility should bear some of the code-change cost was raised. Stub electrical to potential future needs such as near the dock. No budget or timeline established.</w:t>
      </w:r>
      <w:r>
        <w:rPr>
          <w:rFonts w:ascii="Calibri" w:hAnsi="Calibri"/>
          <w:b/>
          <w:i w:val="0"/>
          <w:color w:val="C99A00"/>
          <w:sz w:val="16"/>
        </w:rPr>
        <w:t xml:space="preserve">   NEEDS A DECISION</w:t>
      </w:r>
      <w:r>
        <w:rPr>
          <w:rFonts w:ascii="Calibri" w:hAnsi="Calibri"/>
          <w:b/>
          <w:i w:val="0"/>
          <w:color w:val="C99A00"/>
          <w:sz w:val="16"/>
        </w:rPr>
        <w:t xml:space="preserve">   2027 BUDGET</w:t>
      </w:r>
    </w:p>
    <w:p>
      <w:pPr>
        <w:spacing w:before="160" w:after="60"/>
      </w:pPr>
      <w:r>
        <w:rPr>
          <w:rFonts w:ascii="Calibri" w:hAnsi="Calibri"/>
          <w:b/>
          <w:i w:val="0"/>
          <w:color w:val="4ABA81"/>
          <w:sz w:val="21"/>
        </w:rPr>
        <w:t>CONSTRUCTION QUALITY &amp; VENDORS</w:t>
      </w:r>
    </w:p>
    <w:p>
      <w:pPr>
        <w:pStyle w:val="ListBullet"/>
        <w:spacing w:after="60"/>
      </w:pPr>
      <w:r>
        <w:rPr>
          <w:rFonts w:ascii="Calibri" w:hAnsi="Calibri"/>
          <w:b w:val="0"/>
          <w:i w:val="0"/>
          <w:color w:val="2F4E65"/>
          <w:sz w:val="22"/>
        </w:rPr>
        <w:t>Permitting for the park work at the bamboo property is still pending with no clear timeline.</w:t>
      </w:r>
      <w:r>
        <w:rPr>
          <w:rFonts w:ascii="Calibri" w:hAnsi="Calibri"/>
          <w:b/>
          <w:i w:val="0"/>
          <w:color w:val="C99A00"/>
          <w:sz w:val="16"/>
        </w:rPr>
        <w:t xml:space="preserve">   NEEDS A DECISION</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Camp Spot short-term bookings are tying up long-term lots: small units are being booked onto large 50-amp lots, blocking long-term rentals, and the system currently will not book long-term residents past 2026. Proposed fix is minimum stay requirements on certain lots during the season.</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Minimum stay strategy: start at a six-month minimum with flexibility down to three months if bookings are slow, blocking lots historically used for full-season rentals and keeping others open for short-term. The smaller west side lots may suit short-term better. Alex to help map and block the lots. Final duration and lot list not decided.</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High activity and interest in two homes on Daisy Bear. Daisy Lane home rehab: finish the kitchen, clean carpets, repair the vanity. Perry Winkle home, post-eviction, has electrical issues and needs work. 366 Lily Mora rental needs new vinyl flooring and appliances.</w:t>
      </w:r>
    </w:p>
    <w:p>
      <w:pPr>
        <w:spacing w:before="160" w:after="60"/>
      </w:pPr>
      <w:r>
        <w:rPr>
          <w:rFonts w:ascii="Calibri" w:hAnsi="Calibri"/>
          <w:b/>
          <w:i w:val="0"/>
          <w:color w:val="4ABA81"/>
          <w:sz w:val="21"/>
        </w:rPr>
        <w:t>CURB APPEAL &amp; SITE STANDARDS</w:t>
      </w:r>
    </w:p>
    <w:p>
      <w:pPr>
        <w:pStyle w:val="ListBullet"/>
        <w:spacing w:after="60"/>
      </w:pPr>
      <w:r>
        <w:rPr>
          <w:rFonts w:ascii="Calibri" w:hAnsi="Calibri"/>
          <w:b w:val="0"/>
          <w:i w:val="0"/>
          <w:color w:val="2F4E65"/>
          <w:sz w:val="22"/>
        </w:rPr>
        <w:t>New street signs in progress; Fernando also to check graveling.</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Ashlyne Godinez</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