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drawing>
          <wp:inline xmlns:a="http://schemas.openxmlformats.org/drawingml/2006/main" xmlns:pic="http://schemas.openxmlformats.org/drawingml/2006/picture">
            <wp:extent cx="1600200" cy="411880"/>
            <wp:docPr id="1" name="Picture 1"/>
            <wp:cNvGraphicFramePr>
              <a:graphicFrameLocks noChangeAspect="1"/>
            </wp:cNvGraphicFramePr>
            <a:graphic>
              <a:graphicData uri="http://schemas.openxmlformats.org/drawingml/2006/picture">
                <pic:pic>
                  <pic:nvPicPr>
                    <pic:cNvPr id="0" name="parakeet-communities-logo-trimmed.png"/>
                    <pic:cNvPicPr/>
                  </pic:nvPicPr>
                  <pic:blipFill>
                    <a:blip r:embed="rId9"/>
                    <a:stretch>
                      <a:fillRect/>
                    </a:stretch>
                  </pic:blipFill>
                  <pic:spPr>
                    <a:xfrm>
                      <a:off x="0" y="0"/>
                      <a:ext cx="1600200" cy="411880"/>
                    </a:xfrm>
                    <a:prstGeom prst="rect"/>
                  </pic:spPr>
                </pic:pic>
              </a:graphicData>
            </a:graphic>
          </wp:inline>
        </w:drawing>
      </w:r>
    </w:p>
    <w:p>
      <w:pPr>
        <w:spacing w:after="0"/>
      </w:pPr>
      <w:r>
        <w:rPr>
          <w:rFonts w:ascii="Calibri" w:hAnsi="Calibri"/>
          <w:b/>
          <w:i w:val="0"/>
          <w:color w:val="2F4E65"/>
          <w:sz w:val="52"/>
        </w:rPr>
        <w:t>Belle Haven</w:t>
      </w:r>
    </w:p>
    <w:p>
      <w:pPr>
        <w:spacing w:after="160"/>
      </w:pPr>
      <w:r>
        <w:rPr>
          <w:rFonts w:ascii="Calibri" w:hAnsi="Calibri"/>
          <w:b/>
          <w:i w:val="0"/>
          <w:color w:val="4ABA81"/>
          <w:sz w:val="26"/>
        </w:rPr>
        <w:t>Visit notes  ·  August 2026 portfolio roadtrip</w:t>
      </w:r>
    </w:p>
    <w:p>
      <w:pPr>
        <w:spacing w:after="40"/>
      </w:pPr>
      <w:r>
        <w:rPr>
          <w:rFonts w:ascii="Calibri" w:hAnsi="Calibri"/>
          <w:b w:val="0"/>
          <w:i w:val="0"/>
          <w:color w:val="8FA3B2"/>
          <w:sz w:val="19"/>
        </w:rPr>
        <w:t>Clearwater, FL   |   93 units   |   JREF I   |   Regional manager: Alex Pontes</w:t>
      </w:r>
    </w:p>
    <w:p>
      <w:pPr>
        <w:spacing w:after="200"/>
      </w:pPr>
      <w:r>
        <w:rPr>
          <w:rFonts w:ascii="Calibri" w:hAnsi="Calibri"/>
          <w:b/>
          <w:i w:val="0"/>
          <w:color w:val="2F4E65"/>
          <w:sz w:val="20"/>
        </w:rPr>
        <w:t>16 items logged</w:t>
      </w:r>
      <w:r>
        <w:rPr>
          <w:rFonts w:ascii="Calibri" w:hAnsi="Calibri"/>
          <w:b w:val="0"/>
          <w:i w:val="0"/>
          <w:color w:val="2F4E65"/>
          <w:sz w:val="20"/>
        </w:rPr>
        <w:t xml:space="preserve">   ·   1 waiting on a decision</w:t>
      </w:r>
    </w:p>
    <w:p>
      <w:pPr>
        <w:spacing w:after="200"/>
      </w:pPr>
      <w:r>
        <w:rPr>
          <w:rFonts w:ascii="Calibri" w:hAnsi="Calibri"/>
          <w:b w:val="0"/>
          <w:i w:val="0"/>
          <w:color w:val="2F4E65"/>
          <w:sz w:val="20"/>
        </w:rPr>
        <w:t>These are our notes from the visit, straight from the walk-through and the conversation on site. Nothing here is a directive yet. If something is already done, wrong, or you disagree with it, say so — that is more useful to us than a clean list. Reference numbers are in brackets so you can quote them back.</w:t>
      </w:r>
    </w:p>
    <w:p>
      <w:pPr>
        <w:spacing w:before="160" w:after="60"/>
      </w:pPr>
      <w:r>
        <w:rPr>
          <w:rFonts w:ascii="Calibri" w:hAnsi="Calibri"/>
          <w:b/>
          <w:i w:val="0"/>
          <w:color w:val="4ABA81"/>
          <w:sz w:val="21"/>
        </w:rPr>
        <w:t>CAPITAL &amp; INFRASTRUCTURE</w:t>
      </w:r>
    </w:p>
    <w:p>
      <w:pPr>
        <w:pStyle w:val="ListBullet"/>
        <w:spacing w:after="60"/>
      </w:pPr>
      <w:r>
        <w:rPr>
          <w:rFonts w:ascii="Calibri" w:hAnsi="Calibri"/>
          <w:b w:val="0"/>
          <w:i w:val="0"/>
          <w:color w:val="2F4E65"/>
          <w:sz w:val="22"/>
        </w:rPr>
        <w:t>Streetlights</w:t>
      </w:r>
      <w:r>
        <w:rPr>
          <w:rFonts w:ascii="Calibri" w:hAnsi="Calibri"/>
          <w:b w:val="0"/>
          <w:i w:val="0"/>
          <w:color w:val="8FA3B2"/>
          <w:sz w:val="16"/>
        </w:rPr>
        <w:t xml:space="preserve">   [PF-0416]</w:t>
      </w:r>
    </w:p>
    <w:p>
      <w:pPr>
        <w:pStyle w:val="ListBullet"/>
        <w:spacing w:after="60"/>
      </w:pPr>
      <w:r>
        <w:rPr>
          <w:rFonts w:ascii="Calibri" w:hAnsi="Calibri"/>
          <w:b w:val="0"/>
          <w:i w:val="0"/>
          <w:color w:val="2F4E65"/>
          <w:sz w:val="22"/>
        </w:rPr>
        <w:t>An entire back section of homes is on a single master meter. Streetlights are functional but provide inadequate lighting.</w:t>
      </w:r>
    </w:p>
    <w:p>
      <w:pPr>
        <w:spacing w:before="160" w:after="60"/>
      </w:pPr>
      <w:r>
        <w:rPr>
          <w:rFonts w:ascii="Calibri" w:hAnsi="Calibri"/>
          <w:b/>
          <w:i w:val="0"/>
          <w:color w:val="4ABA81"/>
          <w:sz w:val="21"/>
        </w:rPr>
        <w:t>CONSTRUCTION QUALITY &amp; VENDORS</w:t>
      </w:r>
    </w:p>
    <w:p>
      <w:pPr>
        <w:pStyle w:val="ListBullet"/>
        <w:spacing w:after="60"/>
      </w:pPr>
      <w:r>
        <w:rPr>
          <w:rFonts w:ascii="Calibri" w:hAnsi="Calibri"/>
          <w:b w:val="0"/>
          <w:i w:val="0"/>
          <w:color w:val="2F4E65"/>
          <w:sz w:val="22"/>
        </w:rPr>
        <w:t>Some units were extra messy at turnover, and certain doors lack the structural provision for top deadbolts, which is both a security and a repair problem.</w:t>
      </w:r>
    </w:p>
    <w:p>
      <w:pPr>
        <w:spacing w:before="160" w:after="60"/>
      </w:pPr>
      <w:r>
        <w:rPr>
          <w:rFonts w:ascii="Calibri" w:hAnsi="Calibri"/>
          <w:b/>
          <w:i w:val="0"/>
          <w:color w:val="4ABA81"/>
          <w:sz w:val="21"/>
        </w:rPr>
        <w:t>INFILL, HOMES &amp; SALES</w:t>
      </w:r>
    </w:p>
    <w:p>
      <w:pPr>
        <w:pStyle w:val="ListBullet"/>
        <w:spacing w:after="60"/>
      </w:pPr>
      <w:r>
        <w:rPr>
          <w:rFonts w:ascii="Calibri" w:hAnsi="Calibri"/>
          <w:b w:val="0"/>
          <w:i w:val="0"/>
          <w:color w:val="2F4E65"/>
          <w:sz w:val="22"/>
        </w:rPr>
        <w:t>No reason we shouldn’t be able to pound Facebook on monthly RV residents</w:t>
      </w:r>
      <w:r>
        <w:rPr>
          <w:rFonts w:ascii="Calibri" w:hAnsi="Calibri"/>
          <w:b w:val="0"/>
          <w:i w:val="0"/>
          <w:color w:val="8FA3B2"/>
          <w:sz w:val="16"/>
        </w:rPr>
        <w:t xml:space="preserve">   [PF-0417]</w:t>
      </w:r>
    </w:p>
    <w:p>
      <w:pPr>
        <w:pStyle w:val="ListBullet"/>
        <w:spacing w:after="60"/>
      </w:pPr>
      <w:r>
        <w:rPr>
          <w:rFonts w:ascii="Calibri" w:hAnsi="Calibri"/>
          <w:b w:val="0"/>
          <w:i w:val="0"/>
          <w:color w:val="2F4E65"/>
          <w:sz w:val="22"/>
        </w:rPr>
        <w:t>Do the roofs on the rentals</w:t>
      </w:r>
      <w:r>
        <w:rPr>
          <w:rFonts w:ascii="Calibri" w:hAnsi="Calibri"/>
          <w:b w:val="0"/>
          <w:i w:val="0"/>
          <w:color w:val="8FA3B2"/>
          <w:sz w:val="16"/>
        </w:rPr>
        <w:t xml:space="preserve">   [PF-0418]</w:t>
      </w:r>
    </w:p>
    <w:p>
      <w:pPr>
        <w:pStyle w:val="ListBullet"/>
        <w:spacing w:after="60"/>
      </w:pPr>
      <w:r>
        <w:rPr>
          <w:rFonts w:ascii="Calibri" w:hAnsi="Calibri"/>
          <w:b w:val="0"/>
          <w:i w:val="0"/>
          <w:color w:val="2F4E65"/>
          <w:sz w:val="22"/>
        </w:rPr>
        <w:t>Custom windows run roughly $13,000 per house with a six-week lead time. A workable fix using standard replacements has been found for some broken windows, though it is not ideal. The on-site manager sourced an abundance of windows to avoid the custom order process, found all needed mini blinds in the property sheds, and bought shower curtains to improve unit presentation.</w:t>
      </w:r>
    </w:p>
    <w:p>
      <w:pPr>
        <w:pStyle w:val="ListBullet"/>
        <w:spacing w:after="60"/>
      </w:pPr>
      <w:r>
        <w:rPr>
          <w:rFonts w:ascii="Calibri" w:hAnsi="Calibri"/>
          <w:b w:val="0"/>
          <w:i w:val="0"/>
          <w:color w:val="2F4E65"/>
          <w:sz w:val="22"/>
        </w:rPr>
        <w:t>Contractor roof patching is proving insufficient. Team agreed to move to full roof replacements at an estimated $5,000-$7,000 per roof rather than continue temporary fixes, starting with the occupied unit that currently needs patching.</w:t>
      </w:r>
    </w:p>
    <w:p>
      <w:pPr>
        <w:pStyle w:val="ListBullet"/>
        <w:spacing w:after="60"/>
      </w:pPr>
      <w:r>
        <w:rPr>
          <w:rFonts w:ascii="Calibri" w:hAnsi="Calibri"/>
          <w:b w:val="0"/>
          <w:i w:val="0"/>
          <w:color w:val="2F4E65"/>
          <w:sz w:val="22"/>
        </w:rPr>
        <w:t>Affordability gap is the primary occupancy hurdle: strong interest, but many prospects are lower-income or students who cannot afford the homes. The park ran about fifty sales per month when first purchased. The team was surprised it could not secure eight long-term RV tenants from the large local contractor pool.</w:t>
      </w:r>
      <w:r>
        <w:rPr>
          <w:rFonts w:ascii="Calibri" w:hAnsi="Calibri"/>
          <w:b/>
          <w:i w:val="0"/>
          <w:color w:val="C99A00"/>
          <w:sz w:val="16"/>
        </w:rPr>
        <w:t xml:space="preserve">   NEEDS A DECISION</w:t>
      </w:r>
    </w:p>
    <w:p>
      <w:pPr>
        <w:pStyle w:val="ListBullet"/>
        <w:spacing w:after="60"/>
      </w:pPr>
      <w:r>
        <w:rPr>
          <w:rFonts w:ascii="Calibri" w:hAnsi="Calibri"/>
          <w:b w:val="0"/>
          <w:i w:val="0"/>
          <w:color w:val="2F4E65"/>
          <w:sz w:val="22"/>
        </w:rPr>
        <w:t>To fill vacant lots and hold revenue while awaiting new home deliveries, target long-term RV tenants with a block-and-blast Facebook campaign, with a view to upselling to park models later. Buy, skirt and list one RV for sale to test the market.</w:t>
      </w:r>
    </w:p>
    <w:p>
      <w:pPr>
        <w:spacing w:before="160" w:after="60"/>
      </w:pPr>
      <w:r>
        <w:rPr>
          <w:rFonts w:ascii="Calibri" w:hAnsi="Calibri"/>
          <w:b/>
          <w:i w:val="0"/>
          <w:color w:val="4ABA81"/>
          <w:sz w:val="21"/>
        </w:rPr>
        <w:t>CURB APPEAL &amp; SITE STANDARDS</w:t>
      </w:r>
    </w:p>
    <w:p>
      <w:pPr>
        <w:pStyle w:val="ListBullet"/>
        <w:spacing w:after="60"/>
      </w:pPr>
      <w:r>
        <w:rPr>
          <w:rFonts w:ascii="Calibri" w:hAnsi="Calibri"/>
          <w:b w:val="0"/>
          <w:i w:val="0"/>
          <w:color w:val="2F4E65"/>
          <w:sz w:val="22"/>
        </w:rPr>
        <w:t>New mailboxes throughout</w:t>
      </w:r>
      <w:r>
        <w:rPr>
          <w:rFonts w:ascii="Calibri" w:hAnsi="Calibri"/>
          <w:b w:val="0"/>
          <w:i w:val="0"/>
          <w:color w:val="8FA3B2"/>
          <w:sz w:val="16"/>
        </w:rPr>
        <w:t xml:space="preserve">   [PF-0419]</w:t>
      </w:r>
    </w:p>
    <w:p>
      <w:pPr>
        <w:pStyle w:val="ListBullet"/>
        <w:spacing w:after="60"/>
      </w:pPr>
      <w:r>
        <w:rPr>
          <w:rFonts w:ascii="Calibri" w:hAnsi="Calibri"/>
          <w:b w:val="0"/>
          <w:i w:val="0"/>
          <w:color w:val="2F4E65"/>
          <w:sz w:val="22"/>
        </w:rPr>
        <w:t>Repaint the screened in areas</w:t>
      </w:r>
      <w:r>
        <w:rPr>
          <w:rFonts w:ascii="Calibri" w:hAnsi="Calibri"/>
          <w:b w:val="0"/>
          <w:i w:val="0"/>
          <w:color w:val="8FA3B2"/>
          <w:sz w:val="16"/>
        </w:rPr>
        <w:t xml:space="preserve">   [PF-0420]</w:t>
      </w:r>
    </w:p>
    <w:p>
      <w:pPr>
        <w:pStyle w:val="ListBullet"/>
        <w:spacing w:after="60"/>
      </w:pPr>
      <w:r>
        <w:rPr>
          <w:rFonts w:ascii="Calibri" w:hAnsi="Calibri"/>
          <w:b w:val="0"/>
          <w:i w:val="0"/>
          <w:color w:val="2F4E65"/>
          <w:sz w:val="22"/>
        </w:rPr>
        <w:t>Install new fencing, signage, and flyer flags of the type used successfully at Fox Creek to improve visibility and curb appeal.</w:t>
      </w:r>
    </w:p>
    <w:p>
      <w:pPr>
        <w:spacing w:before="160" w:after="60"/>
      </w:pPr>
      <w:r>
        <w:rPr>
          <w:rFonts w:ascii="Calibri" w:hAnsi="Calibri"/>
          <w:b/>
          <w:i w:val="0"/>
          <w:color w:val="4ABA81"/>
          <w:sz w:val="21"/>
        </w:rPr>
        <w:t>AMENITIES &amp; COMMON AREAS</w:t>
      </w:r>
    </w:p>
    <w:p>
      <w:pPr>
        <w:pStyle w:val="ListBullet"/>
        <w:spacing w:after="60"/>
      </w:pPr>
      <w:r>
        <w:rPr>
          <w:rFonts w:ascii="Calibri" w:hAnsi="Calibri"/>
          <w:b w:val="0"/>
          <w:i w:val="0"/>
          <w:color w:val="2F4E65"/>
          <w:sz w:val="22"/>
        </w:rPr>
        <w:t>Clubhouse extended grill area over shuffleboard</w:t>
      </w:r>
      <w:r>
        <w:rPr>
          <w:rFonts w:ascii="Calibri" w:hAnsi="Calibri"/>
          <w:b w:val="0"/>
          <w:i w:val="0"/>
          <w:color w:val="8FA3B2"/>
          <w:sz w:val="16"/>
        </w:rPr>
        <w:t xml:space="preserve">   [TD-0133]</w:t>
      </w:r>
    </w:p>
    <w:p>
      <w:pPr>
        <w:pStyle w:val="ListBullet"/>
        <w:spacing w:after="60"/>
      </w:pPr>
      <w:r>
        <w:rPr>
          <w:rFonts w:ascii="Calibri" w:hAnsi="Calibri"/>
          <w:b w:val="0"/>
          <w:i w:val="0"/>
          <w:color w:val="2F4E65"/>
          <w:sz w:val="22"/>
        </w:rPr>
        <w:t>Add a pickleball court on the existing basketball court and a dog park in the field. Covered grill area agreed as a communal space.</w:t>
      </w:r>
    </w:p>
    <w:p>
      <w:pPr>
        <w:spacing w:before="160" w:after="60"/>
      </w:pPr>
      <w:r>
        <w:rPr>
          <w:rFonts w:ascii="Calibri" w:hAnsi="Calibri"/>
          <w:b/>
          <w:i w:val="0"/>
          <w:color w:val="4ABA81"/>
          <w:sz w:val="21"/>
        </w:rPr>
        <w:t>RESIDENT ISSUES &amp; ENFORCEMENT</w:t>
      </w:r>
    </w:p>
    <w:p>
      <w:pPr>
        <w:pStyle w:val="ListBullet"/>
        <w:spacing w:after="60"/>
      </w:pPr>
      <w:r>
        <w:rPr>
          <w:rFonts w:ascii="Calibri" w:hAnsi="Calibri"/>
          <w:b w:val="0"/>
          <w:i w:val="0"/>
          <w:color w:val="2F4E65"/>
          <w:sz w:val="22"/>
        </w:rPr>
        <w:t>A resident raised a persistent water leak inside her trailer, arguing that because the park is on a single master meter the owner is responsible. Management disputed this, noting the home was purchased as is. Site visit to investigate the meter and pipe scheduled for Monday.</w:t>
      </w:r>
    </w:p>
    <w:p>
      <w:pPr>
        <w:spacing w:before="160" w:after="60"/>
      </w:pPr>
      <w:r>
        <w:rPr>
          <w:rFonts w:ascii="Calibri" w:hAnsi="Calibri"/>
          <w:b/>
          <w:i w:val="0"/>
          <w:color w:val="4ABA81"/>
          <w:sz w:val="21"/>
        </w:rPr>
        <w:t>SITE OPS, STAFFING &amp; EQUIPMENT</w:t>
      </w:r>
    </w:p>
    <w:p>
      <w:pPr>
        <w:pStyle w:val="ListBullet"/>
        <w:spacing w:after="60"/>
      </w:pPr>
      <w:r>
        <w:rPr>
          <w:rFonts w:ascii="Calibri" w:hAnsi="Calibri"/>
          <w:b w:val="0"/>
          <w:i w:val="0"/>
          <w:color w:val="2F4E65"/>
          <w:sz w:val="22"/>
        </w:rPr>
        <w:t>Office area has no designated parking, so staff park near the office van, and the clubhouse grill area is temporarily being used for parking. Major work such as road repaving follows finalization of city plans and new home installs.</w:t>
      </w:r>
    </w:p>
    <w:p>
      <w:pPr>
        <w:spacing w:before="280"/>
      </w:pPr>
      <w:r>
        <w:rPr>
          <w:rFonts w:ascii="Calibri" w:hAnsi="Calibri"/>
          <w:b/>
          <w:i w:val="0"/>
          <w:color w:val="4ABA81"/>
          <w:sz w:val="21"/>
        </w:rPr>
        <w:t>WHAT WE NEED BACK FROM YOU</w:t>
      </w:r>
    </w:p>
    <w:p>
      <w:r>
        <w:rPr>
          <w:rFonts w:ascii="Calibri" w:hAnsi="Calibri"/>
          <w:b w:val="0"/>
          <w:i w:val="0"/>
          <w:color w:val="2F4E65"/>
          <w:sz w:val="20"/>
        </w:rPr>
        <w:t xml:space="preserve">Send corrections and status to your regional manager, </w:t>
      </w:r>
      <w:r>
        <w:rPr>
          <w:rFonts w:ascii="Calibri" w:hAnsi="Calibri"/>
          <w:b/>
          <w:i w:val="0"/>
          <w:color w:val="2F4E65"/>
          <w:sz w:val="20"/>
        </w:rPr>
        <w:t>Alex Pontes</w:t>
      </w:r>
      <w:r>
        <w:rPr>
          <w:rFonts w:ascii="Calibri" w:hAnsi="Calibri"/>
          <w:b w:val="0"/>
          <w:i w:val="0"/>
          <w:color w:val="2F4E65"/>
          <w:sz w:val="20"/>
        </w:rPr>
        <w:t>. Quote the reference number. Three things help most: what is already finished, what is wrong on this list, and what you would put first if you could only pick one.</w:t>
      </w:r>
    </w:p>
    <w:p>
      <w:pPr>
        <w:spacing w:before="160"/>
      </w:pPr>
      <w:r>
        <w:rPr>
          <w:rFonts w:ascii="Calibri" w:hAnsi="Calibri"/>
          <w:b w:val="0"/>
          <w:i/>
          <w:color w:val="8FA3B2"/>
          <w:sz w:val="17"/>
        </w:rPr>
        <w:t>Source: August 2026 portfolio roadtrip, site punch list and visit notes, Aug 17‑23, 2026. Compiled 2026-09-02.</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