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Great Oak RV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Kissimmee, FL   |   231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9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3 needs attention now   ·   5 waiting on a decision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Community is on a boil water notice with the aerator pump out; the system was described as wide open. Status of the vendor's return is unclear.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Power cannot be brought to the intended area without rerouting electrical, which requires upgrades. No plan, budget or owner defined.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Lift station to be walked and inspected.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CONSTRUCTION QUALITY &amp; VENDORS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Past plan was porch-to-porch alignment rather than porch-to-rear; porches on the main street should face out. Flipping banks as they are replaced was suggested.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Bulletin board outside the office to be replaced and moved to the mailbox units, possibly mounted on the side like a wall, keeping mail carrier access clear and not blocking the community room entrance.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AMENITIES &amp; COMMON AREAS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Clubhouse interior: grey oak vinyl tile proposed for the floor, drop ceiling noted, lamp post to be replaced. Purple was disliked and the pool area color considered the worst.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One party considers the current grill/hibachi setup a fire hazard and wants it removed. Proposal to redo the bocce area and relocate the grill nearby, keeping propane unless a gas line is available (a plumber would be needed to connect). A metal roof over the area was raised. No decision or timeline.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A solar light turns on but never off because the sun does not reach it; residents ignore it. Evaluate placement or replace.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SITE OPS, STAFFING &amp; EQUIPMENT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Storage area described as wide open, a potential security concern. One participant did not see it open; needs verification and mitigation.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  <w:r>
        <w:rPr>
          <w:rFonts w:ascii="Calibri" w:hAnsi="Calibri"/>
          <w:b/>
          <w:i w:val="0"/>
          <w:color w:val="C99A00"/>
          <w:sz w:val="16"/>
        </w:rPr>
        <w:t xml:space="preserve">   NEEDS A DECISION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