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641323" cy="502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with_tag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1323" cy="502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/>
          <w:color w:val="2F4E65"/>
          <w:sz w:val="44"/>
        </w:rPr>
        <w:t>Operational Procedure 801: Lot Rental Increase &amp; Pass-Through Charges (FL)</w:t>
      </w:r>
    </w:p>
    <w:p>
      <w:r>
        <w:rPr>
          <w:rFonts w:ascii="Calibri" w:hAnsi="Calibri"/>
          <w:b/>
          <w:color w:val="4ABA81"/>
          <w:sz w:val="26"/>
        </w:rPr>
        <w:t>Parakeet Communities  ·  Florida Compliance SOP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Process Owner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Natalie Magurne, Director of Operations</w:t>
            </w:r>
          </w:p>
        </w:tc>
      </w:tr>
      <w:tr>
        <w:tc>
          <w:tcPr>
            <w:tcW w:type="dxa" w:w="244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Applies To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Asset Management / Finance, Legal / Compliance, Regional Managers, Community Managers</w:t>
            </w:r>
          </w:p>
        </w:tc>
      </w:tr>
      <w:tr>
        <w:tc>
          <w:tcPr>
            <w:tcW w:type="dxa" w:w="244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Jurisdiction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FLORIDA communities only (Georgia and South Carolina versions to follow)</w:t>
            </w:r>
          </w:p>
        </w:tc>
      </w:tr>
      <w:tr>
        <w:tc>
          <w:tcPr>
            <w:tcW w:type="dxa" w:w="244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Legal Basis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FS 723.031, 723.033, 723.037, 723.038; approved community prospectus (Section: Increases in Lot Rental Amount)</w:t>
            </w:r>
          </w:p>
        </w:tc>
      </w:tr>
      <w:tr>
        <w:tc>
          <w:tcPr>
            <w:tcW w:type="dxa" w:w="244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Primary System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Rent Manager</w:t>
            </w:r>
          </w:p>
        </w:tc>
      </w:tr>
      <w:tr>
        <w:tc>
          <w:tcPr>
            <w:tcW w:type="dxa" w:w="244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DRAFT V1 — Pending Review</w:t>
            </w:r>
          </w:p>
        </w:tc>
      </w:tr>
      <w:tr>
        <w:tc>
          <w:tcPr>
            <w:tcW w:type="dxa" w:w="244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Effective Date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_________________ (upon approval)</w:t>
            </w:r>
          </w:p>
        </w:tc>
      </w:tr>
      <w:tr>
        <w:tc>
          <w:tcPr>
            <w:tcW w:type="dxa" w:w="244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Last Revised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August 6, 2026 — drafted from 2025 Florida Statutes and community prospectuses</w:t>
            </w:r>
          </w:p>
        </w:tc>
      </w:tr>
    </w:tbl>
    <w:p/>
    <w:p>
      <w:r>
        <w:rPr>
          <w:rFonts w:ascii="Calibri" w:hAnsi="Calibri"/>
          <w:b/>
          <w:color w:val="F16262"/>
          <w:sz w:val="18"/>
        </w:rPr>
        <w:t>LEGAL REVIEW REQUIRED: This SOP restates statutory timelines from Chapters 723 and 83, Florida Statutes (2025), and Parakeet prospectuses. Florida counsel must review and approve before rollout. Where a community prospectus is more restrictive than statute, the prospectus controls.</w:t>
      </w:r>
    </w:p>
    <w:p>
      <w:pPr>
        <w:pStyle w:val="Heading1"/>
      </w:pPr>
      <w:r>
        <w:rPr>
          <w:rFonts w:ascii="Calibri" w:hAnsi="Calibri"/>
          <w:color w:val="2F4E65"/>
          <w:sz w:val="30"/>
        </w:rPr>
        <w:t>PURPOSE</w:t>
      </w:r>
    </w:p>
    <w:p>
      <w:r>
        <w:rPr>
          <w:rFonts w:ascii="Calibri" w:hAnsi="Calibri"/>
          <w:b w:val="0"/>
          <w:color w:val="2F4E65"/>
          <w:sz w:val="22"/>
        </w:rPr>
        <w:t>To raise lot rental amounts and pass through ad valorem taxes, non-ad valorem assessments, and utility cost increases at Florida communities in full compliance with Chapter 723, Florida Statutes, and each community's approved prospectus — so that no increase is ever voided, delayed, or challenged for a notice defect. In Florida, a defective increase notice does not just create legal risk; it extends the resident's existing rental term at the old rate until proper notice is given (FS 723.031(5)).</w:t>
      </w:r>
    </w:p>
    <w:p>
      <w:pPr>
        <w:pStyle w:val="Heading1"/>
      </w:pPr>
      <w:r>
        <w:rPr>
          <w:rFonts w:ascii="Calibri" w:hAnsi="Calibri"/>
          <w:color w:val="2F4E65"/>
          <w:sz w:val="30"/>
        </w:rPr>
        <w:t>SCOPE</w:t>
      </w:r>
    </w:p>
    <w:p>
      <w:pPr>
        <w:pStyle w:val="Heading2"/>
      </w:pPr>
      <w:r>
        <w:rPr>
          <w:rFonts w:ascii="Calibri" w:hAnsi="Calibri"/>
          <w:color w:val="2F4E65"/>
          <w:sz w:val="24"/>
        </w:rPr>
        <w:t>Applies To</w:t>
      </w:r>
    </w:p>
    <w:p>
      <w:pPr>
        <w:pStyle w:val="ListBullet"/>
      </w:pPr>
      <w:r>
        <w:rPr>
          <w:rFonts w:ascii="Calibri" w:hAnsi="Calibri"/>
          <w:color w:val="2F4E65"/>
          <w:sz w:val="22"/>
        </w:rPr>
        <w:t>All Florida manufactured housing communities with lot tenancies under Chapter 723</w:t>
      </w:r>
    </w:p>
    <w:p>
      <w:pPr>
        <w:pStyle w:val="ListBullet"/>
      </w:pPr>
      <w:r>
        <w:rPr>
          <w:rFonts w:ascii="Calibri" w:hAnsi="Calibri"/>
          <w:color w:val="2F4E65"/>
          <w:sz w:val="22"/>
        </w:rPr>
        <w:t>Asset Management / Finance — builds the annual increase schedule and pass-through calculations</w:t>
      </w:r>
    </w:p>
    <w:p>
      <w:pPr>
        <w:pStyle w:val="ListBullet"/>
      </w:pPr>
      <w:r>
        <w:rPr>
          <w:rFonts w:ascii="Calibri" w:hAnsi="Calibri"/>
          <w:color w:val="2F4E65"/>
          <w:sz w:val="22"/>
        </w:rPr>
        <w:t>Legal / Compliance — verifies prospectus authority, approves notices, files with the Division, manages mediation</w:t>
      </w:r>
    </w:p>
    <w:p>
      <w:pPr>
        <w:pStyle w:val="ListBullet"/>
      </w:pPr>
      <w:r>
        <w:rPr>
          <w:rFonts w:ascii="Calibri" w:hAnsi="Calibri"/>
          <w:color w:val="2F4E65"/>
          <w:sz w:val="22"/>
        </w:rPr>
        <w:t>Regional Managers — accuracy review, homeowners' committee meetings</w:t>
      </w:r>
    </w:p>
    <w:p>
      <w:pPr>
        <w:pStyle w:val="ListBullet"/>
      </w:pPr>
      <w:r>
        <w:rPr>
          <w:rFonts w:ascii="Calibri" w:hAnsi="Calibri"/>
          <w:color w:val="2F4E65"/>
          <w:sz w:val="22"/>
        </w:rPr>
        <w:t>Community Managers — notice service, proof of delivery, resident communication</w:t>
      </w:r>
    </w:p>
    <w:p>
      <w:pPr>
        <w:pStyle w:val="ListBullet"/>
      </w:pPr>
      <w:r>
        <w:rPr>
          <w:rFonts w:ascii="Calibri" w:hAnsi="Calibri"/>
          <w:color w:val="2F4E65"/>
          <w:sz w:val="22"/>
        </w:rPr>
        <w:t>EXCLUDED: RV parks (Chapter 513 tenancies), park-owned home rentals (Chapter 83 — rent changes follow the lease and Chapter 83), and Georgia / South Carolina communities</w:t>
      </w:r>
    </w:p>
    <w:p>
      <w:pPr>
        <w:pStyle w:val="Heading2"/>
      </w:pPr>
      <w:r>
        <w:rPr>
          <w:rFonts w:ascii="Calibri" w:hAnsi="Calibri"/>
          <w:color w:val="2F4E65"/>
          <w:sz w:val="24"/>
        </w:rPr>
        <w:t>Trigger</w:t>
      </w:r>
    </w:p>
    <w:p>
      <w:r>
        <w:rPr>
          <w:rFonts w:ascii="Calibri" w:hAnsi="Calibri"/>
          <w:b w:val="0"/>
          <w:color w:val="2F4E65"/>
          <w:sz w:val="22"/>
        </w:rPr>
        <w:t>The annual budget approval sets the increase schedule for each community's anniversary date(s); OR a tax bill, assessment, or utility rate change creates a pass-through event.</w:t>
      </w:r>
    </w:p>
    <w:p>
      <w:pPr>
        <w:pStyle w:val="Heading2"/>
      </w:pPr>
      <w:r>
        <w:rPr>
          <w:rFonts w:ascii="Calibri" w:hAnsi="Calibri"/>
          <w:color w:val="2F4E65"/>
          <w:sz w:val="24"/>
        </w:rPr>
        <w:t>Finish Line</w:t>
      </w:r>
    </w:p>
    <w:p>
      <w:r>
        <w:rPr>
          <w:rFonts w:ascii="Calibri" w:hAnsi="Calibri"/>
          <w:b w:val="0"/>
          <w:color w:val="2F4E65"/>
          <w:sz w:val="22"/>
        </w:rPr>
        <w:t>This process is complete for a community when the increase is effective in Rent Manager, every affected homeowner received a compliant 90-day notice with documented proof, any committee meeting or mediation is closed out, and the notice copies are filed with the Division by January 1.</w:t>
      </w:r>
    </w:p>
    <w:p>
      <w:pPr>
        <w:pStyle w:val="Heading1"/>
      </w:pPr>
      <w:r>
        <w:rPr>
          <w:rFonts w:ascii="Calibri" w:hAnsi="Calibri"/>
          <w:color w:val="2F4E65"/>
          <w:sz w:val="30"/>
        </w:rPr>
        <w:t>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676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Asset Management / Finance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Builds the increase schedule from the approved budget; calculates pass-through amounts (proportionate share); confirms amounts never exceed what is remitted to the taxing authority or utility</w:t>
            </w:r>
          </w:p>
        </w:tc>
      </w:tr>
      <w:tr>
        <w:tc>
          <w:tcPr>
            <w:tcW w:type="dxa" w:w="316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Legal / Compliance</w:t>
            </w:r>
          </w:p>
        </w:tc>
        <w:tc>
          <w:tcPr>
            <w:tcW w:type="dxa" w:w="676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Verifies prospectus authority per community before any notice is drafted; approves final notice; attends committee meetings; handles mediation petitions; files annual notice copies with the Division of Florida Condominiums, Timeshares, and Mobile Homes (DBPR)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Operations Coordinator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Merges the approved schedule into the Florida 90-day notice template in Rent Manager; generates per-resident notices by lot</w:t>
            </w:r>
          </w:p>
        </w:tc>
      </w:tr>
      <w:tr>
        <w:tc>
          <w:tcPr>
            <w:tcW w:type="dxa" w:w="316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Regional Manager</w:t>
            </w:r>
          </w:p>
        </w:tc>
        <w:tc>
          <w:tcPr>
            <w:tcW w:type="dxa" w:w="676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Reviews every notice for accuracy against Rent Manager (name, lot, current amount, new amount, effective date); represents the park owner at homeowners' committee meetings with Legal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Community Manager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Serves notices, captures proof of delivery, uploads proof to Rent Manager History &amp; Notes, fields resident questions</w:t>
            </w:r>
          </w:p>
        </w:tc>
      </w:tr>
      <w:tr>
        <w:tc>
          <w:tcPr>
            <w:tcW w:type="dxa" w:w="316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Director of Operations</w:t>
            </w:r>
          </w:p>
        </w:tc>
        <w:tc>
          <w:tcPr>
            <w:tcW w:type="dxa" w:w="676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Process owner; final escalation for disputed increases</w:t>
            </w:r>
          </w:p>
        </w:tc>
      </w:tr>
    </w:tbl>
    <w:p>
      <w:pPr>
        <w:pStyle w:val="Heading1"/>
      </w:pPr>
      <w:r>
        <w:rPr>
          <w:rFonts w:ascii="Calibri" w:hAnsi="Calibri"/>
          <w:color w:val="2F4E65"/>
          <w:sz w:val="30"/>
        </w:rPr>
        <w:t>FLORIDA COMPLIANCE REQUIREMENTS — HARD DEADLINES</w:t>
      </w:r>
    </w:p>
    <w:p>
      <w:r>
        <w:rPr>
          <w:rFonts w:ascii="Calibri" w:hAnsi="Calibri"/>
          <w:b w:val="0"/>
          <w:color w:val="2F4E65"/>
          <w:sz w:val="20"/>
        </w:rPr>
        <w:t>These timelines are statutory. Missing one voids the action or exposes the company to penalties and fee awards. When counting days, follow the statute exactly; when in doubt, add days, never subtract.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88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88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Deadline / Standard</w:t>
            </w:r>
          </w:p>
        </w:tc>
        <w:tc>
          <w:tcPr>
            <w:tcW w:type="dxa" w:w="2160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Citation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Written notice of increase to every affected homeowner AND the homeowners' association board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At least 90 days before the effective 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FS 723.037(1)</w:t>
            </w:r>
          </w:p>
        </w:tc>
      </w:tr>
      <w:tr>
        <w:tc>
          <w:tcPr>
            <w:tcW w:type="dxa" w:w="388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Notice content</w:t>
            </w:r>
          </w:p>
        </w:tc>
        <w:tc>
          <w:tcPr>
            <w:tcW w:type="dxa" w:w="388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Current lot rental amount, amount of the increase, effective date; each pass-through charge itemized separately with the name of the governmental entity and the charge</w:t>
            </w:r>
          </w:p>
        </w:tc>
        <w:tc>
          <w:tcPr>
            <w:tcW w:type="dxa" w:w="2160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FS 723.037(1)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Multiple anniversary dates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One 90-day notice may cover multiple anniversary date increases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FS 723.037(1)</w:t>
            </w:r>
          </w:p>
        </w:tc>
      </w:tr>
      <w:tr>
        <w:tc>
          <w:tcPr>
            <w:tcW w:type="dxa" w:w="388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Frequency of increases</w:t>
            </w:r>
          </w:p>
        </w:tc>
        <w:tc>
          <w:tcPr>
            <w:tcW w:type="dxa" w:w="388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No more than annually; never mid-term except disclosed pass-throughs and disclosed annual adjustments in multi-year agreements</w:t>
            </w:r>
          </w:p>
        </w:tc>
        <w:tc>
          <w:tcPr>
            <w:tcW w:type="dxa" w:w="2160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FS 723.031(5)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Non-discrimination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Increases must not be discriminatory among similarly situated tenants; homeowners cannot waive the 90-day right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FS 723.037</w:t>
            </w:r>
          </w:p>
        </w:tc>
      </w:tr>
      <w:tr>
        <w:tc>
          <w:tcPr>
            <w:tcW w:type="dxa" w:w="388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Pass-through ceiling</w:t>
            </w:r>
          </w:p>
        </w:tc>
        <w:tc>
          <w:tcPr>
            <w:tcW w:type="dxa" w:w="388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Never collect more than the amount actually remitted to the tax collector or utility; charge must be disclosed in the prospectus or before tenancy</w:t>
            </w:r>
          </w:p>
        </w:tc>
        <w:tc>
          <w:tcPr>
            <w:tcW w:type="dxa" w:w="2160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FS 723.031(6)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Homeowners' committee meeting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Committee (max 5 members) meets with the park owner no later than 60 days before the effective 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FS 723.037(4)</w:t>
            </w:r>
          </w:p>
        </w:tc>
      </w:tr>
      <w:tr>
        <w:tc>
          <w:tcPr>
            <w:tcW w:type="dxa" w:w="388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Mediation window</w:t>
            </w:r>
          </w:p>
        </w:tc>
        <w:tc>
          <w:tcPr>
            <w:tcW w:type="dxa" w:w="388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Homeowners may petition the Division for mediation within 30 days after the last scheduled committee meeting</w:t>
            </w:r>
          </w:p>
        </w:tc>
        <w:tc>
          <w:tcPr>
            <w:tcW w:type="dxa" w:w="2160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FS 723.037(5), 723.038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Annual Division filing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File copies of all 723.037 notices given during the preceding year with the Division by January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FS 723.037(2)</w:t>
            </w:r>
          </w:p>
        </w:tc>
      </w:tr>
      <w:tr>
        <w:tc>
          <w:tcPr>
            <w:tcW w:type="dxa" w:w="388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Prospectus controls the factors</w:t>
            </w:r>
          </w:p>
        </w:tc>
        <w:tc>
          <w:tcPr>
            <w:tcW w:type="dxa" w:w="388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Increase factors and disclosed charges come from each community's approved prospectus (Section IX in most Parakeet prospectuses)</w:t>
            </w:r>
          </w:p>
        </w:tc>
        <w:tc>
          <w:tcPr>
            <w:tcW w:type="dxa" w:w="2160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FS 723.011, 723.012, prospectus</w:t>
            </w:r>
          </w:p>
        </w:tc>
      </w:tr>
    </w:tbl>
    <w:p>
      <w:pPr>
        <w:pStyle w:val="Heading1"/>
      </w:pPr>
      <w:r>
        <w:rPr>
          <w:rFonts w:ascii="Calibri" w:hAnsi="Calibri"/>
          <w:color w:val="2F4E65"/>
          <w:sz w:val="30"/>
        </w:rPr>
        <w:t>PROSPECTUS VERIFICATION — DO THIS FIRST, EVERY YEAR</w:t>
      </w:r>
    </w:p>
    <w:p>
      <w:r>
        <w:rPr>
          <w:rFonts w:ascii="Calibri" w:hAnsi="Calibri"/>
          <w:b w:val="0"/>
          <w:color w:val="2F4E65"/>
          <w:sz w:val="22"/>
        </w:rPr>
        <w:t>Every Florida community sits under a specific approved prospectus version (PA, P1, P2, etc.), and individual residents within one community may be under different versions depending on when they moved in. The consolidated matrix lives at: SharePoint &gt; Asset Management &amp; Finance &gt; Prospectus Documents &gt; _Prospectus - FL Consolidated &gt; Prospectus - FL Communities.xlsx.</w:t>
      </w:r>
    </w:p>
    <w:p>
      <w:pPr>
        <w:pStyle w:val="ListBullet"/>
      </w:pPr>
      <w:r>
        <w:rPr>
          <w:rFonts w:ascii="Calibri" w:hAnsi="Calibri"/>
          <w:color w:val="2F4E65"/>
          <w:sz w:val="22"/>
        </w:rPr>
        <w:t>Confirm which prospectus version applies to each affected resident cohort before drafting any notice.</w:t>
      </w:r>
    </w:p>
    <w:p>
      <w:pPr>
        <w:pStyle w:val="ListBullet"/>
      </w:pPr>
      <w:r>
        <w:rPr>
          <w:rFonts w:ascii="Calibri" w:hAnsi="Calibri"/>
          <w:color w:val="2F4E65"/>
          <w:sz w:val="22"/>
        </w:rPr>
        <w:t>Confirm the prospectus discloses the increase factors being relied on (increased costs, prevailing market rent, prevailing economic conditions / CPI) and any pass-through authority.</w:t>
      </w:r>
    </w:p>
    <w:p>
      <w:pPr>
        <w:pStyle w:val="ListBullet"/>
      </w:pPr>
      <w:r>
        <w:rPr>
          <w:rFonts w:ascii="Calibri" w:hAnsi="Calibri"/>
          <w:color w:val="2F4E65"/>
          <w:sz w:val="22"/>
        </w:rPr>
        <w:t>Communities with NO PROSPECTUS ON FILE (per the matrix: Geiger Key RV, Great Oak RV, Hunter Springs, Nalls Court, Paradise Lakes, River Oaks RV, Silver Breeze) — STOP. Route to Legal / Compliance. RV parks are Chapter 513, not 723; manufactured housing communities with 26+ lots and no approved prospectus must be remediated per SOP 804 before relying on prospectus-based increases.</w:t>
      </w:r>
    </w:p>
    <w:p>
      <w:pPr>
        <w:pStyle w:val="ListBullet"/>
      </w:pPr>
      <w:r>
        <w:rPr>
          <w:rFonts w:ascii="Calibri" w:hAnsi="Calibri"/>
          <w:color w:val="2F4E65"/>
          <w:sz w:val="22"/>
        </w:rPr>
        <w:t>Parks with fewer than 26 lots are exempt from the prospectus requirement (FS 723.011) but still owe the 90-day notice under 723.037.</w:t>
      </w:r>
    </w:p>
    <w:p>
      <w:pPr>
        <w:pStyle w:val="Heading1"/>
      </w:pPr>
      <w:r>
        <w:rPr>
          <w:rFonts w:ascii="Calibri" w:hAnsi="Calibri"/>
          <w:color w:val="2F4E65"/>
          <w:sz w:val="30"/>
        </w:rPr>
        <w:t>PROCEDURE</w:t>
      </w:r>
    </w:p>
    <w:p>
      <w:pPr>
        <w:pStyle w:val="Heading2"/>
      </w:pPr>
      <w:r>
        <w:rPr>
          <w:rFonts w:ascii="Calibri" w:hAnsi="Calibri"/>
          <w:color w:val="2F4E65"/>
          <w:sz w:val="24"/>
        </w:rPr>
        <w:t>Phase 1 — Planning  ·  T-150 to T-120 days before effective date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Asset Management / Finance — extracts the approved increase per community from the budget and pulls anniversary dates from Rent Manager.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Asset Management / Finance — calculates any pass-through charges as each homeowner's proportionate share of the actual, documented cost; attaches the tax bill, assessment, or utility invoice as backup.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Legal / Compliance — completes the Prospectus Verification (above) for every affected community and cohort; signs off in writing.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Director of Operations — approves the final schedule (community, cohort, current amount, new amount, pass-throughs, effective date).</w:t>
      </w:r>
    </w:p>
    <w:p>
      <w:pPr>
        <w:pStyle w:val="Heading2"/>
      </w:pPr>
      <w:r>
        <w:rPr>
          <w:rFonts w:ascii="Calibri" w:hAnsi="Calibri"/>
          <w:color w:val="2F4E65"/>
          <w:sz w:val="24"/>
        </w:rPr>
        <w:t>Phase 2 — Notice Preparation  ·  T-120 to T-95 days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Operations Coordinator — merges the approved schedule into the Florida 90-Day Notice of Lot Rental Increase template; one notice per affected homeowner, identified by lot number and name; pass-through charges itemized separately with the governmental entity named.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Regional Manager — reviews every notice against Rent Manager for accuracy (resident legal name, lot, current amount, new amount, effective date, math).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Legal / Compliance — final approval of the notice package. No notice is served without Legal sign-off.</w:t>
      </w:r>
    </w:p>
    <w:p>
      <w:pPr>
        <w:pStyle w:val="Heading2"/>
      </w:pPr>
      <w:r>
        <w:rPr>
          <w:rFonts w:ascii="Calibri" w:hAnsi="Calibri"/>
          <w:color w:val="2F4E65"/>
          <w:sz w:val="24"/>
        </w:rPr>
        <w:t>Phase 3 — Service  ·  no later than T-90 days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Community Manager — delivers the notice to every affected homeowner using the delivery method required by the community's prospectus and lease; obtain a certificate of mailing (recommended for all mailed notices) or signed receipt.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Community Manager — delivers a copy to the homeowners' association board if one exists for the community.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Community Manager — uploads proof of service for every notice to Rent Manager History &amp; Notes the same day (see SOP 803 for service and documentation standards).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Operations Coordinator — confirms 100% service completion by T-90 and logs the notice package to the Legal shared folder for the January 1 Division filing.</w:t>
      </w:r>
    </w:p>
    <w:p>
      <w:pPr>
        <w:pStyle w:val="Heading2"/>
      </w:pPr>
      <w:r>
        <w:rPr>
          <w:rFonts w:ascii="Calibri" w:hAnsi="Calibri"/>
          <w:color w:val="2F4E65"/>
          <w:sz w:val="24"/>
        </w:rPr>
        <w:t>Phase 4 — Committee Meeting &amp; Mediation Window  ·  T-90 to T-30 days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If a homeowners' committee (up to 5 members) requests a meeting, Regional Manager schedules it so it occurs no later than 60 days before the effective date.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Regional Manager + Legal / Compliance — attend, present the reasons for the increase consistent with the prospectus factors, and document the meeting (date, attendees, materials shared).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If homeowners petition the Division for mediation within 30 days after the last scheduled meeting, Legal / Compliance manages the mediation under FS 723.038. Do not discuss or negotiate outside that process without Legal.</w:t>
      </w:r>
    </w:p>
    <w:p>
      <w:pPr>
        <w:pStyle w:val="Heading2"/>
      </w:pPr>
      <w:r>
        <w:rPr>
          <w:rFonts w:ascii="Calibri" w:hAnsi="Calibri"/>
          <w:color w:val="2F4E65"/>
          <w:sz w:val="24"/>
        </w:rPr>
        <w:t>Phase 5 — Effective Date &amp; Renewals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Operations Coordinator — batch-updates charges in Rent Manager effective on the anniversary date; spot-check 10% of accounts.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Community Manager — issues renewal lot rental agreements reflecting the new amount; remember FS 723.031(5): if the 90-day notice was defective, the old term and rate continue until proper notice is given.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Regional Manager — reviews the first month's rent roll after the effective date for any account still billing the old amount.</w:t>
      </w:r>
    </w:p>
    <w:p>
      <w:pPr>
        <w:pStyle w:val="Heading2"/>
      </w:pPr>
      <w:r>
        <w:rPr>
          <w:rFonts w:ascii="Calibri" w:hAnsi="Calibri"/>
          <w:color w:val="2F4E65"/>
          <w:sz w:val="24"/>
        </w:rPr>
        <w:t>Phase 6 — Annual Division Filing  ·  by January 1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Legal / Compliance — files copies of ALL 723.037 notices given during the preceding year with the Division; logs completion on the MASTER Compliance Calendar.</w:t>
      </w:r>
    </w:p>
    <w:p>
      <w:pPr>
        <w:pStyle w:val="Heading1"/>
      </w:pPr>
      <w:r>
        <w:rPr>
          <w:rFonts w:ascii="Calibri" w:hAnsi="Calibri"/>
          <w:color w:val="2F4E65"/>
          <w:sz w:val="30"/>
        </w:rPr>
        <w:t>DOCUMENTATION &amp; RECORDKEEPING</w:t>
      </w:r>
    </w:p>
    <w:p>
      <w:pPr>
        <w:pStyle w:val="ListBullet"/>
      </w:pPr>
      <w:r>
        <w:rPr>
          <w:rFonts w:ascii="Calibri" w:hAnsi="Calibri"/>
          <w:color w:val="2F4E65"/>
          <w:sz w:val="22"/>
        </w:rPr>
        <w:t>Every notice + proof of service: Rent Manager History &amp; Notes (per resident) AND the community's Legal Notices folder on SharePoint.</w:t>
      </w:r>
    </w:p>
    <w:p>
      <w:pPr>
        <w:pStyle w:val="ListBullet"/>
      </w:pPr>
      <w:r>
        <w:rPr>
          <w:rFonts w:ascii="Calibri" w:hAnsi="Calibri"/>
          <w:color w:val="2F4E65"/>
          <w:sz w:val="22"/>
        </w:rPr>
        <w:t>Committee meeting minutes and mediation records: Legal / Compliance folder.</w:t>
      </w:r>
    </w:p>
    <w:p>
      <w:pPr>
        <w:pStyle w:val="ListBullet"/>
      </w:pPr>
      <w:r>
        <w:rPr>
          <w:rFonts w:ascii="Calibri" w:hAnsi="Calibri"/>
          <w:color w:val="2F4E65"/>
          <w:sz w:val="22"/>
        </w:rPr>
        <w:t>Retention: 7 years minimum.</w:t>
      </w:r>
    </w:p>
    <w:p/>
    <w:p>
      <w:r>
        <w:rPr>
          <w:rFonts w:ascii="Calibri" w:hAnsi="Calibri"/>
          <w:color w:val="8FA3B2"/>
          <w:sz w:val="18"/>
        </w:rPr>
        <w:t>Draft prepared from the 2025 Florida Statutes (flsenate.gov), the approved community prospectuses on SharePoint (Asset Management &amp; Finance / Prospectus Documents), and existing Parakeet SOPs in Operations / _Training / Standard Operating Procedures.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F4E6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F4E6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4E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F4E6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F4E6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33F35BBD7BE847B1FE9D41E83E62E1" ma:contentTypeVersion="13" ma:contentTypeDescription="Create a new document." ma:contentTypeScope="" ma:versionID="099d58a8c37cdba098fa2852e989e5b8">
  <xsd:schema xmlns:xsd="http://www.w3.org/2001/XMLSchema" xmlns:xs="http://www.w3.org/2001/XMLSchema" xmlns:p="http://schemas.microsoft.com/office/2006/metadata/properties" xmlns:ns2="8b946ec2-561f-4a03-a63a-0eab221a5776" xmlns:ns3="764674dd-e175-44e8-a710-52b02657ed00" targetNamespace="http://schemas.microsoft.com/office/2006/metadata/properties" ma:root="true" ma:fieldsID="ef3808dd6a5f5a95543715c162420a87" ns2:_="" ns3:_="">
    <xsd:import namespace="8b946ec2-561f-4a03-a63a-0eab221a5776"/>
    <xsd:import namespace="764674dd-e175-44e8-a710-52b02657ed00"/>
    <xsd:element name="properties">
      <xsd:complexType>
        <xsd:sequence>
          <xsd:element name="documentManagement">
            <xsd:complexType>
              <xsd:all>
                <xsd:element ref="ns2:PropertyShortName" minOccurs="0"/>
                <xsd:element ref="ns2:DocumentTyp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46ec2-561f-4a03-a63a-0eab221a5776" elementFormDefault="qualified">
    <xsd:import namespace="http://schemas.microsoft.com/office/2006/documentManagement/types"/>
    <xsd:import namespace="http://schemas.microsoft.com/office/infopath/2007/PartnerControls"/>
    <xsd:element name="PropertyShortName" ma:index="8" nillable="true" ma:displayName="Property Short Name" ma:format="Dropdown" ma:internalName="PropertyShortName">
      <xsd:simpleType>
        <xsd:restriction base="dms:Choice">
          <xsd:enumeration value="JBJ"/>
          <xsd:enumeration value="GO"/>
          <xsd:enumeration value="A2Z"/>
          <xsd:enumeration value="PC"/>
          <xsd:enumeration value="KEET"/>
          <xsd:enumeration value="BOVI"/>
          <xsd:enumeration value="BOVII"/>
          <xsd:enumeration value="POBOVI"/>
          <xsd:enumeration value="POBOVII"/>
          <xsd:enumeration value="ARD"/>
          <xsd:enumeration value="AMER"/>
          <xsd:enumeration value="APPLE"/>
          <xsd:enumeration value="AW"/>
          <xsd:enumeration value="Choice 14"/>
        </xsd:restriction>
      </xsd:simpleType>
    </xsd:element>
    <xsd:element name="DocumentType" ma:index="9" nillable="true" ma:displayName="Document Type" ma:format="Dropdown" ma:internalName="DocumentType">
      <xsd:simpleType>
        <xsd:restriction base="dms:Choice">
          <xsd:enumeration value="Cert of Formation"/>
          <xsd:enumeration value="EIN Letter"/>
          <xsd:enumeration value="LLC Agreeement"/>
          <xsd:enumeration value="Cert of Registration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122a211-7e95-43c4-85fe-cfb3afdd58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4674dd-e175-44e8-a710-52b02657ed0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b658d5b-c62a-4dd6-8c80-51c9b9a50843}" ma:internalName="TaxCatchAll" ma:showField="CatchAllData" ma:web="764674dd-e175-44e8-a710-52b02657ed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946ec2-561f-4a03-a63a-0eab221a5776">
      <Terms xmlns="http://schemas.microsoft.com/office/infopath/2007/PartnerControls"/>
    </lcf76f155ced4ddcb4097134ff3c332f>
    <TaxCatchAll xmlns="764674dd-e175-44e8-a710-52b02657ed00" xsi:nil="true"/>
    <DocumentType xmlns="8b946ec2-561f-4a03-a63a-0eab221a5776" xsi:nil="true"/>
    <PropertyShortName xmlns="8b946ec2-561f-4a03-a63a-0eab221a5776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03A4666-0CAA-4DAF-A975-27E87B2DF9FD}"/>
</file>

<file path=customXml/itemProps3.xml><?xml version="1.0" encoding="utf-8"?>
<ds:datastoreItem xmlns:ds="http://schemas.openxmlformats.org/officeDocument/2006/customXml" ds:itemID="{2DA609AE-1DED-4536-AAD3-6A5585BD8034}"/>
</file>

<file path=customXml/itemProps4.xml><?xml version="1.0" encoding="utf-8"?>
<ds:datastoreItem xmlns:ds="http://schemas.openxmlformats.org/officeDocument/2006/customXml" ds:itemID="{C6B02A2F-464B-4C16-BD08-7481CA84F01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0x010100E233F35BBD7BE847B1FE9D41E83E62E1</vt:lpwstr>
  </property>
  <property fmtid="{D5CDD505-2E9C-101B-9397-08002B2CF9AE}" pid="3" name="MediaServiceImageTags">
    <vt:lpwstr/>
  </property>
</Properties>
</file>