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802: Community Rules Violation &amp; Enforcement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 Legal / Compliance</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723.061, 723.033, 723.035; FS 83.56 (park-owned home rentals); community prospectus Exhibit — Park Rules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enforce community rules consistently and lawfully at Florida communities using the correct statutory track — Chapter 723 for residents who own their home and rent the lot, Chapter 83 for residents renting a park-owned home. Using the wrong notice, the wrong cure period, or inconsistent enforcement voids the eviction and creates Fair Housing exposure.</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Florida communities</w:t>
      </w:r>
    </w:p>
    <w:p>
      <w:pPr>
        <w:pStyle w:val="ListBullet"/>
      </w:pPr>
      <w:r>
        <w:rPr>
          <w:rFonts w:ascii="Calibri" w:hAnsi="Calibri"/>
          <w:color w:val="2F4E65"/>
          <w:sz w:val="22"/>
        </w:rPr>
        <w:t>Track A — Lot tenants (resident-owned home on rented lot): Chapter 723</w:t>
      </w:r>
    </w:p>
    <w:p>
      <w:pPr>
        <w:pStyle w:val="ListBullet"/>
      </w:pPr>
      <w:r>
        <w:rPr>
          <w:rFonts w:ascii="Calibri" w:hAnsi="Calibri"/>
          <w:color w:val="2F4E65"/>
          <w:sz w:val="22"/>
        </w:rPr>
        <w:t>Track B — Park-owned home (POH) renters: Chapter 83, Part II</w:t>
      </w:r>
    </w:p>
    <w:p>
      <w:pPr>
        <w:pStyle w:val="ListBullet"/>
      </w:pPr>
      <w:r>
        <w:rPr>
          <w:rFonts w:ascii="Calibri" w:hAnsi="Calibri"/>
          <w:color w:val="2F4E65"/>
          <w:sz w:val="22"/>
        </w:rPr>
        <w:t>RV tenancies route to Legal for classification before any notice is served</w:t>
      </w:r>
    </w:p>
    <w:p>
      <w:pPr>
        <w:pStyle w:val="ListBullet"/>
      </w:pPr>
      <w:r>
        <w:rPr>
          <w:rFonts w:ascii="Calibri" w:hAnsi="Calibri"/>
          <w:color w:val="2F4E65"/>
          <w:sz w:val="22"/>
        </w:rPr>
        <w:t>Nonpayment of rent is NOT this SOP — nonpayment follows SOP 100 (AR &amp; Collections) and SOP 107 (Eviction)</w:t>
      </w:r>
    </w:p>
    <w:p>
      <w:pPr>
        <w:pStyle w:val="Heading2"/>
      </w:pPr>
      <w:r>
        <w:rPr>
          <w:rFonts w:ascii="Calibri" w:hAnsi="Calibri"/>
          <w:color w:val="2F4E65"/>
          <w:sz w:val="24"/>
        </w:rPr>
        <w:t>Trigger</w:t>
      </w:r>
    </w:p>
    <w:p>
      <w:r>
        <w:rPr>
          <w:rFonts w:ascii="Calibri" w:hAnsi="Calibri"/>
          <w:b w:val="0"/>
          <w:color w:val="2F4E65"/>
          <w:sz w:val="22"/>
        </w:rPr>
        <w:t>A Community Manager observes or receives a documented report of a rule violation (unauthorized occupant or pet, lot condition, vehicle, conduct, etc.).</w:t>
      </w:r>
    </w:p>
    <w:p>
      <w:pPr>
        <w:pStyle w:val="Heading2"/>
      </w:pPr>
      <w:r>
        <w:rPr>
          <w:rFonts w:ascii="Calibri" w:hAnsi="Calibri"/>
          <w:color w:val="2F4E65"/>
          <w:sz w:val="24"/>
        </w:rPr>
        <w:t>Finish Line</w:t>
      </w:r>
    </w:p>
    <w:p>
      <w:r>
        <w:rPr>
          <w:rFonts w:ascii="Calibri" w:hAnsi="Calibri"/>
          <w:b w:val="0"/>
          <w:color w:val="2F4E65"/>
          <w:sz w:val="22"/>
        </w:rPr>
        <w:t>The violation is cured and documented, or the account is handed to the eviction attorney with a complete, statutorily compliant notice trail.</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Observes and documents violations (photos, dates, witness notes) in Rent Manager; serves notices per SOP 803; monitors cure windows; communicates with the resident</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Reviews every violation notice before service; confirms track (723 vs 83) and notice type; approves escalation to the Evictions Team</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Generates the correct statutory notice from the Rent Manager template library; prepares attorney intake for uncured or repeat violations</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Maintains notice templates; rules reasonableness review (FS 723.033); classification calls (RV, mixed tenancies); attorney coordination</w:t>
            </w:r>
          </w:p>
        </w:tc>
      </w:tr>
      <w:tr>
        <w:tc>
          <w:tcPr>
            <w:tcW w:type="dxa" w:w="3168"/>
          </w:tcPr>
          <w:p>
            <w:r/>
            <w:r>
              <w:rPr>
                <w:rFonts w:ascii="Calibri" w:hAnsi="Calibri"/>
                <w:b w:val="0"/>
                <w:color w:val="2F4E65"/>
                <w:sz w:val="20"/>
              </w:rPr>
              <w:t>Director of Operations</w:t>
            </w:r>
          </w:p>
        </w:tc>
        <w:tc>
          <w:tcPr>
            <w:tcW w:type="dxa" w:w="6768"/>
          </w:tcPr>
          <w:p>
            <w:r/>
            <w:r>
              <w:rPr>
                <w:rFonts w:ascii="Calibri" w:hAnsi="Calibri"/>
                <w:b w:val="0"/>
                <w:color w:val="2F4E65"/>
                <w:sz w:val="20"/>
              </w:rPr>
              <w:t>Process owner; approves any enforcement exception (exceptions are the enemy — see Fair Housing note)</w:t>
            </w:r>
          </w:p>
        </w:tc>
      </w:tr>
    </w:tbl>
    <w:p>
      <w:pPr>
        <w:pStyle w:val="Heading1"/>
      </w:pPr>
      <w:r>
        <w:rPr>
          <w:rFonts w:ascii="Calibri" w:hAnsi="Calibri"/>
          <w:color w:val="2F4E65"/>
          <w:sz w:val="30"/>
        </w:rPr>
        <w:t>FLORIDA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TRACK A (Ch. 723) — first violation notice</w:t>
            </w:r>
          </w:p>
        </w:tc>
        <w:tc>
          <w:tcPr>
            <w:tcW w:type="dxa" w:w="3888"/>
          </w:tcPr>
          <w:p>
            <w:r/>
            <w:r>
              <w:rPr>
                <w:rFonts w:ascii="Calibri" w:hAnsi="Calibri"/>
                <w:b w:val="0"/>
                <w:color w:val="2F4E65"/>
                <w:sz w:val="20"/>
              </w:rPr>
              <w:t>Written notice; resident has 7 days after delivery to cure. Notice must specify the rule or provision violated</w:t>
            </w:r>
          </w:p>
        </w:tc>
        <w:tc>
          <w:tcPr>
            <w:tcW w:type="dxa" w:w="2160"/>
          </w:tcPr>
          <w:p>
            <w:r/>
            <w:r>
              <w:rPr>
                <w:rFonts w:ascii="Calibri" w:hAnsi="Calibri"/>
                <w:b w:val="0"/>
                <w:color w:val="2F4E65"/>
                <w:sz w:val="20"/>
              </w:rPr>
              <w:t>FS 723.061(1)</w:t>
            </w:r>
          </w:p>
        </w:tc>
      </w:tr>
      <w:tr>
        <w:tc>
          <w:tcPr>
            <w:tcW w:type="dxa" w:w="3888"/>
            <w:shd w:val="clear" w:fill="F5F7F8"/>
          </w:tcPr>
          <w:p>
            <w:r/>
            <w:r>
              <w:rPr>
                <w:rFonts w:ascii="Calibri" w:hAnsi="Calibri"/>
                <w:b w:val="0"/>
                <w:color w:val="2F4E65"/>
                <w:sz w:val="20"/>
              </w:rPr>
              <w:t>TRACK A — second violation of the same nature within 12 months</w:t>
            </w:r>
          </w:p>
        </w:tc>
        <w:tc>
          <w:tcPr>
            <w:tcW w:type="dxa" w:w="3888"/>
            <w:shd w:val="clear" w:fill="F5F7F8"/>
          </w:tcPr>
          <w:p>
            <w:r/>
            <w:r>
              <w:rPr>
                <w:rFonts w:ascii="Calibri" w:hAnsi="Calibri"/>
                <w:b w:val="0"/>
                <w:color w:val="2F4E65"/>
                <w:sz w:val="20"/>
              </w:rPr>
              <w:t>Eviction may proceed; resident is NOT entitled to a second cure period; eviction notice at least 30 days before the required vacate date. The first-violation notice must have been given within 30 days of the first violation</w:t>
            </w:r>
          </w:p>
        </w:tc>
        <w:tc>
          <w:tcPr>
            <w:tcW w:type="dxa" w:w="2160"/>
            <w:shd w:val="clear" w:fill="F5F7F8"/>
          </w:tcPr>
          <w:p>
            <w:r/>
            <w:r>
              <w:rPr>
                <w:rFonts w:ascii="Calibri" w:hAnsi="Calibri"/>
                <w:b w:val="0"/>
                <w:color w:val="2F4E65"/>
                <w:sz w:val="20"/>
              </w:rPr>
              <w:t>FS 723.061(1)</w:t>
            </w:r>
          </w:p>
        </w:tc>
      </w:tr>
      <w:tr>
        <w:tc>
          <w:tcPr>
            <w:tcW w:type="dxa" w:w="3888"/>
          </w:tcPr>
          <w:p>
            <w:r/>
            <w:r>
              <w:rPr>
                <w:rFonts w:ascii="Calibri" w:hAnsi="Calibri"/>
                <w:b w:val="0"/>
                <w:color w:val="2F4E65"/>
                <w:sz w:val="20"/>
              </w:rPr>
              <w:t>TRACK A — violation endangering life, health, safety, or property</w:t>
            </w:r>
          </w:p>
        </w:tc>
        <w:tc>
          <w:tcPr>
            <w:tcW w:type="dxa" w:w="3888"/>
          </w:tcPr>
          <w:p>
            <w:r/>
            <w:r>
              <w:rPr>
                <w:rFonts w:ascii="Calibri" w:hAnsi="Calibri"/>
                <w:b w:val="0"/>
                <w:color w:val="2F4E65"/>
                <w:sz w:val="20"/>
              </w:rPr>
              <w:t>Notice to vacate within 7 days after delivery; no cure period</w:t>
            </w:r>
          </w:p>
        </w:tc>
        <w:tc>
          <w:tcPr>
            <w:tcW w:type="dxa" w:w="2160"/>
          </w:tcPr>
          <w:p>
            <w:r/>
            <w:r>
              <w:rPr>
                <w:rFonts w:ascii="Calibri" w:hAnsi="Calibri"/>
                <w:b w:val="0"/>
                <w:color w:val="2F4E65"/>
                <w:sz w:val="20"/>
              </w:rPr>
              <w:t>FS 723.061(1)</w:t>
            </w:r>
          </w:p>
        </w:tc>
      </w:tr>
      <w:tr>
        <w:tc>
          <w:tcPr>
            <w:tcW w:type="dxa" w:w="3888"/>
            <w:shd w:val="clear" w:fill="F5F7F8"/>
          </w:tcPr>
          <w:p>
            <w:r/>
            <w:r>
              <w:rPr>
                <w:rFonts w:ascii="Calibri" w:hAnsi="Calibri"/>
                <w:b w:val="0"/>
                <w:color w:val="2F4E65"/>
                <w:sz w:val="20"/>
              </w:rPr>
              <w:t>TRACK A — service standard</w:t>
            </w:r>
          </w:p>
        </w:tc>
        <w:tc>
          <w:tcPr>
            <w:tcW w:type="dxa" w:w="3888"/>
            <w:shd w:val="clear" w:fill="F5F7F8"/>
          </w:tcPr>
          <w:p>
            <w:r/>
            <w:r>
              <w:rPr>
                <w:rFonts w:ascii="Calibri" w:hAnsi="Calibri"/>
                <w:b w:val="0"/>
                <w:color w:val="2F4E65"/>
                <w:sz w:val="20"/>
              </w:rPr>
              <w:t>Post on the premises AND send by certified or registered mail, return receipt requested; mailed notice deemed delivered 5 days after postmark</w:t>
            </w:r>
          </w:p>
        </w:tc>
        <w:tc>
          <w:tcPr>
            <w:tcW w:type="dxa" w:w="2160"/>
            <w:shd w:val="clear" w:fill="F5F7F8"/>
          </w:tcPr>
          <w:p>
            <w:r/>
            <w:r>
              <w:rPr>
                <w:rFonts w:ascii="Calibri" w:hAnsi="Calibri"/>
                <w:b w:val="0"/>
                <w:color w:val="2F4E65"/>
                <w:sz w:val="20"/>
              </w:rPr>
              <w:t>FS 723.061</w:t>
            </w:r>
          </w:p>
        </w:tc>
      </w:tr>
      <w:tr>
        <w:tc>
          <w:tcPr>
            <w:tcW w:type="dxa" w:w="3888"/>
          </w:tcPr>
          <w:p>
            <w:r/>
            <w:r>
              <w:rPr>
                <w:rFonts w:ascii="Calibri" w:hAnsi="Calibri"/>
                <w:b w:val="0"/>
                <w:color w:val="2F4E65"/>
                <w:sz w:val="20"/>
              </w:rPr>
              <w:t>TRACK B (Ch. 83) — curable violation</w:t>
            </w:r>
          </w:p>
        </w:tc>
        <w:tc>
          <w:tcPr>
            <w:tcW w:type="dxa" w:w="3888"/>
          </w:tcPr>
          <w:p>
            <w:r/>
            <w:r>
              <w:rPr>
                <w:rFonts w:ascii="Calibri" w:hAnsi="Calibri"/>
                <w:b w:val="0"/>
                <w:color w:val="2F4E65"/>
                <w:sz w:val="20"/>
              </w:rPr>
              <w:t>7-day written notice with opportunity to cure (statutory language required)</w:t>
            </w:r>
          </w:p>
        </w:tc>
        <w:tc>
          <w:tcPr>
            <w:tcW w:type="dxa" w:w="2160"/>
          </w:tcPr>
          <w:p>
            <w:r/>
            <w:r>
              <w:rPr>
                <w:rFonts w:ascii="Calibri" w:hAnsi="Calibri"/>
                <w:b w:val="0"/>
                <w:color w:val="2F4E65"/>
                <w:sz w:val="20"/>
              </w:rPr>
              <w:t>FS 83.56(2)(b)</w:t>
            </w:r>
          </w:p>
        </w:tc>
      </w:tr>
      <w:tr>
        <w:tc>
          <w:tcPr>
            <w:tcW w:type="dxa" w:w="3888"/>
            <w:shd w:val="clear" w:fill="F5F7F8"/>
          </w:tcPr>
          <w:p>
            <w:r/>
            <w:r>
              <w:rPr>
                <w:rFonts w:ascii="Calibri" w:hAnsi="Calibri"/>
                <w:b w:val="0"/>
                <w:color w:val="2F4E65"/>
                <w:sz w:val="20"/>
              </w:rPr>
              <w:t>TRACK B — non-curable or repeat violation within 12 months</w:t>
            </w:r>
          </w:p>
        </w:tc>
        <w:tc>
          <w:tcPr>
            <w:tcW w:type="dxa" w:w="3888"/>
            <w:shd w:val="clear" w:fill="F5F7F8"/>
          </w:tcPr>
          <w:p>
            <w:r/>
            <w:r>
              <w:rPr>
                <w:rFonts w:ascii="Calibri" w:hAnsi="Calibri"/>
                <w:b w:val="0"/>
                <w:color w:val="2F4E65"/>
                <w:sz w:val="20"/>
              </w:rPr>
              <w:t>7-day unconditional notice to vacate</w:t>
            </w:r>
          </w:p>
        </w:tc>
        <w:tc>
          <w:tcPr>
            <w:tcW w:type="dxa" w:w="2160"/>
            <w:shd w:val="clear" w:fill="F5F7F8"/>
          </w:tcPr>
          <w:p>
            <w:r/>
            <w:r>
              <w:rPr>
                <w:rFonts w:ascii="Calibri" w:hAnsi="Calibri"/>
                <w:b w:val="0"/>
                <w:color w:val="2F4E65"/>
                <w:sz w:val="20"/>
              </w:rPr>
              <w:t>FS 83.56(2)(a)</w:t>
            </w:r>
          </w:p>
        </w:tc>
      </w:tr>
      <w:tr>
        <w:tc>
          <w:tcPr>
            <w:tcW w:type="dxa" w:w="3888"/>
          </w:tcPr>
          <w:p>
            <w:r/>
            <w:r>
              <w:rPr>
                <w:rFonts w:ascii="Calibri" w:hAnsi="Calibri"/>
                <w:b w:val="0"/>
                <w:color w:val="2F4E65"/>
                <w:sz w:val="20"/>
              </w:rPr>
              <w:t>TRACK B — service standard</w:t>
            </w:r>
          </w:p>
        </w:tc>
        <w:tc>
          <w:tcPr>
            <w:tcW w:type="dxa" w:w="3888"/>
          </w:tcPr>
          <w:p>
            <w:r/>
            <w:r>
              <w:rPr>
                <w:rFonts w:ascii="Calibri" w:hAnsi="Calibri"/>
                <w:b w:val="0"/>
                <w:color w:val="2F4E65"/>
                <w:sz w:val="20"/>
              </w:rPr>
              <w:t>Mail, hand delivery, or posting at the premises if the tenant is absent</w:t>
            </w:r>
          </w:p>
        </w:tc>
        <w:tc>
          <w:tcPr>
            <w:tcW w:type="dxa" w:w="2160"/>
          </w:tcPr>
          <w:p>
            <w:r/>
            <w:r>
              <w:rPr>
                <w:rFonts w:ascii="Calibri" w:hAnsi="Calibri"/>
                <w:b w:val="0"/>
                <w:color w:val="2F4E65"/>
                <w:sz w:val="20"/>
              </w:rPr>
              <w:t>FS 83.56(4)</w:t>
            </w:r>
          </w:p>
        </w:tc>
      </w:tr>
      <w:tr>
        <w:tc>
          <w:tcPr>
            <w:tcW w:type="dxa" w:w="3888"/>
            <w:shd w:val="clear" w:fill="F5F7F8"/>
          </w:tcPr>
          <w:p>
            <w:r/>
            <w:r>
              <w:rPr>
                <w:rFonts w:ascii="Calibri" w:hAnsi="Calibri"/>
                <w:b w:val="0"/>
                <w:color w:val="2F4E65"/>
                <w:sz w:val="20"/>
              </w:rPr>
              <w:t>Rules must be reasonable and disclosed</w:t>
            </w:r>
          </w:p>
        </w:tc>
        <w:tc>
          <w:tcPr>
            <w:tcW w:type="dxa" w:w="3888"/>
            <w:shd w:val="clear" w:fill="F5F7F8"/>
          </w:tcPr>
          <w:p>
            <w:r/>
            <w:r>
              <w:rPr>
                <w:rFonts w:ascii="Calibri" w:hAnsi="Calibri"/>
                <w:b w:val="0"/>
                <w:color w:val="2F4E65"/>
                <w:sz w:val="20"/>
              </w:rPr>
              <w:t>Rules are an exhibit to the prospectus (Track A) or the lease (Track B); unreasonable or undisclosed rules are unenforceable</w:t>
            </w:r>
          </w:p>
        </w:tc>
        <w:tc>
          <w:tcPr>
            <w:tcW w:type="dxa" w:w="2160"/>
            <w:shd w:val="clear" w:fill="F5F7F8"/>
          </w:tcPr>
          <w:p>
            <w:r/>
            <w:r>
              <w:rPr>
                <w:rFonts w:ascii="Calibri" w:hAnsi="Calibri"/>
                <w:b w:val="0"/>
                <w:color w:val="2F4E65"/>
                <w:sz w:val="20"/>
              </w:rPr>
              <w:t>FS 723.033, 723.035, 723.011</w:t>
            </w:r>
          </w:p>
        </w:tc>
      </w:tr>
    </w:tbl>
    <w:p>
      <w:pPr>
        <w:pStyle w:val="Heading1"/>
      </w:pPr>
      <w:r>
        <w:rPr>
          <w:rFonts w:ascii="Calibri" w:hAnsi="Calibri"/>
          <w:color w:val="2F4E65"/>
          <w:sz w:val="30"/>
        </w:rPr>
        <w:t>FAIR HOUSING GUARDRAIL</w:t>
      </w:r>
    </w:p>
    <w:p>
      <w:r>
        <w:rPr>
          <w:rFonts w:ascii="Calibri" w:hAnsi="Calibri"/>
          <w:b w:val="0"/>
          <w:color w:val="2F4E65"/>
          <w:sz w:val="22"/>
        </w:rPr>
        <w:t>Enforcement must be uniform. Same violation, same notice, same timeline, every resident, every time. Never serve a violation notice on one resident for conduct tolerated from another. Every exception requires Director of Operations approval in writing, documented in Rent Manager. Selective enforcement is the fastest way to lose an eviction and buy a Fair Housing complaint.</w:t>
      </w:r>
    </w:p>
    <w:p>
      <w:pPr>
        <w:pStyle w:val="Heading1"/>
      </w:pPr>
      <w:r>
        <w:rPr>
          <w:rFonts w:ascii="Calibri" w:hAnsi="Calibri"/>
          <w:color w:val="2F4E65"/>
          <w:sz w:val="30"/>
        </w:rPr>
        <w:t>PROCEDURE</w:t>
      </w:r>
    </w:p>
    <w:p>
      <w:pPr>
        <w:pStyle w:val="Heading2"/>
      </w:pPr>
      <w:r>
        <w:rPr>
          <w:rFonts w:ascii="Calibri" w:hAnsi="Calibri"/>
          <w:color w:val="2F4E65"/>
          <w:sz w:val="24"/>
        </w:rPr>
        <w:t>Phase 1 — Identify &amp; Document</w:t>
      </w:r>
    </w:p>
    <w:p>
      <w:pPr>
        <w:pStyle w:val="ListNumber"/>
      </w:pPr>
      <w:r>
        <w:rPr>
          <w:rFonts w:ascii="Calibri" w:hAnsi="Calibri"/>
          <w:color w:val="2F4E65"/>
          <w:sz w:val="22"/>
        </w:rPr>
        <w:t>Community Manager — documents the violation the day it is observed: date-stamped photos, description, rule citation (quote the specific park rule from the prospectus exhibit or lease), any witness statements.</w:t>
      </w:r>
    </w:p>
    <w:p>
      <w:pPr>
        <w:pStyle w:val="ListNumber"/>
      </w:pPr>
      <w:r>
        <w:rPr>
          <w:rFonts w:ascii="Calibri" w:hAnsi="Calibri"/>
          <w:color w:val="2F4E65"/>
          <w:sz w:val="22"/>
        </w:rPr>
        <w:t>Community Manager — creates an issue in Rent Manager under the resident with all documentation attached.</w:t>
      </w:r>
    </w:p>
    <w:p>
      <w:pPr>
        <w:pStyle w:val="ListNumber"/>
      </w:pPr>
      <w:r>
        <w:rPr>
          <w:rFonts w:ascii="Calibri" w:hAnsi="Calibri"/>
          <w:color w:val="2F4E65"/>
          <w:sz w:val="22"/>
        </w:rPr>
        <w:t>Community Manager — attempts an informal conversation first for minor first offenses (documented in History &amp; Notes). Many violations cure with a knock on the door — but the clock and the paper trail start regardless.</w:t>
      </w:r>
    </w:p>
    <w:p>
      <w:pPr>
        <w:pStyle w:val="Heading2"/>
      </w:pPr>
      <w:r>
        <w:rPr>
          <w:rFonts w:ascii="Calibri" w:hAnsi="Calibri"/>
          <w:color w:val="2F4E65"/>
          <w:sz w:val="24"/>
        </w:rPr>
        <w:t>Phase 2 — Classify the Track</w:t>
      </w:r>
    </w:p>
    <w:p>
      <w:pPr>
        <w:pStyle w:val="ListNumber"/>
      </w:pPr>
      <w:r>
        <w:rPr>
          <w:rFonts w:ascii="Calibri" w:hAnsi="Calibri"/>
          <w:color w:val="2F4E65"/>
          <w:sz w:val="22"/>
        </w:rPr>
        <w:t>Community Manager — confirms in Rent Manager whether the resident owns the home (Track A — Chapter 723) or rents a park-owned home (Track B — Chapter 83).</w:t>
      </w:r>
    </w:p>
    <w:p>
      <w:pPr>
        <w:pStyle w:val="ListNumber"/>
      </w:pPr>
      <w:r>
        <w:rPr>
          <w:rFonts w:ascii="Calibri" w:hAnsi="Calibri"/>
          <w:color w:val="2F4E65"/>
          <w:sz w:val="22"/>
        </w:rPr>
        <w:t>For RV sites or unclear ownership (unrecorded sales, inherited homes), STOP and route to Legal / Compliance for classification before any notice is served.</w:t>
      </w:r>
    </w:p>
    <w:p>
      <w:pPr>
        <w:pStyle w:val="ListNumber"/>
      </w:pPr>
      <w:r>
        <w:rPr>
          <w:rFonts w:ascii="Calibri" w:hAnsi="Calibri"/>
          <w:color w:val="2F4E65"/>
          <w:sz w:val="22"/>
        </w:rPr>
        <w:t>Regional Manager — confirms the classification and the correct notice type.</w:t>
      </w:r>
    </w:p>
    <w:p>
      <w:pPr>
        <w:pStyle w:val="Heading2"/>
      </w:pPr>
      <w:r>
        <w:rPr>
          <w:rFonts w:ascii="Calibri" w:hAnsi="Calibri"/>
          <w:color w:val="2F4E65"/>
          <w:sz w:val="24"/>
        </w:rPr>
        <w:t>Phase 3 — Notice Generation &amp; Service</w:t>
      </w:r>
    </w:p>
    <w:p>
      <w:pPr>
        <w:pStyle w:val="ListNumber"/>
      </w:pPr>
      <w:r>
        <w:rPr>
          <w:rFonts w:ascii="Calibri" w:hAnsi="Calibri"/>
          <w:color w:val="2F4E65"/>
          <w:sz w:val="22"/>
        </w:rPr>
        <w:t>Operations Coordinator — generates the correct statutory notice from the Rent Manager template library (Track A 7-day cure; Track A 7-day vacate for endangerment; Track B 7-day cure; Track B 7-day unconditional).</w:t>
      </w:r>
    </w:p>
    <w:p>
      <w:pPr>
        <w:pStyle w:val="ListNumber"/>
      </w:pPr>
      <w:r>
        <w:rPr>
          <w:rFonts w:ascii="Calibri" w:hAnsi="Calibri"/>
          <w:color w:val="2F4E65"/>
          <w:sz w:val="22"/>
        </w:rPr>
        <w:t>Regional Manager — reviews the notice: correct resident legal name, lot, rule quoted verbatim, correct track, correct dates.</w:t>
      </w:r>
    </w:p>
    <w:p>
      <w:pPr>
        <w:pStyle w:val="ListNumber"/>
      </w:pPr>
      <w:r>
        <w:rPr>
          <w:rFonts w:ascii="Calibri" w:hAnsi="Calibri"/>
          <w:color w:val="2F4E65"/>
          <w:sz w:val="22"/>
        </w:rPr>
        <w:t>Community Manager — serves per SOP 803: Track A = post on premises + certified or registered mail, return receipt requested (deemed delivered 5 days after postmark — build this into every deadline calculation); Track B = mail, hand delivery, or posting if absent.</w:t>
      </w:r>
    </w:p>
    <w:p>
      <w:pPr>
        <w:pStyle w:val="ListNumber"/>
      </w:pPr>
      <w:r>
        <w:rPr>
          <w:rFonts w:ascii="Calibri" w:hAnsi="Calibri"/>
          <w:color w:val="2F4E65"/>
          <w:sz w:val="22"/>
        </w:rPr>
        <w:t>Community Manager — uploads proof of service to Rent Manager History &amp; Notes the same day.</w:t>
      </w:r>
    </w:p>
    <w:p>
      <w:pPr>
        <w:pStyle w:val="Heading2"/>
      </w:pPr>
      <w:r>
        <w:rPr>
          <w:rFonts w:ascii="Calibri" w:hAnsi="Calibri"/>
          <w:color w:val="2F4E65"/>
          <w:sz w:val="24"/>
        </w:rPr>
        <w:t>Phase 4 — Cure Window Monitoring</w:t>
      </w:r>
    </w:p>
    <w:p>
      <w:pPr>
        <w:pStyle w:val="ListNumber"/>
      </w:pPr>
      <w:r>
        <w:rPr>
          <w:rFonts w:ascii="Calibri" w:hAnsi="Calibri"/>
          <w:color w:val="2F4E65"/>
          <w:sz w:val="22"/>
        </w:rPr>
        <w:t>Community Manager — calendars the cure deadline (7 days from DELIVERY, which for mailed Track A notices means postmark + 5 days + 7 days).</w:t>
      </w:r>
    </w:p>
    <w:p>
      <w:pPr>
        <w:pStyle w:val="ListNumber"/>
      </w:pPr>
      <w:r>
        <w:rPr>
          <w:rFonts w:ascii="Calibri" w:hAnsi="Calibri"/>
          <w:color w:val="2F4E65"/>
          <w:sz w:val="22"/>
        </w:rPr>
        <w:t>Community Manager — inspects on the deadline date and photographs the outcome (cured or not).</w:t>
      </w:r>
    </w:p>
    <w:p>
      <w:pPr>
        <w:pStyle w:val="ListNumber"/>
      </w:pPr>
      <w:r>
        <w:rPr>
          <w:rFonts w:ascii="Calibri" w:hAnsi="Calibri"/>
          <w:color w:val="2F4E65"/>
          <w:sz w:val="22"/>
        </w:rPr>
        <w:t>If cured: document in Rent Manager, close the issue, retain the notice trail. The 12-month repeat-violation clock keeps running.</w:t>
      </w:r>
    </w:p>
    <w:p>
      <w:pPr>
        <w:pStyle w:val="Heading2"/>
      </w:pPr>
      <w:r>
        <w:rPr>
          <w:rFonts w:ascii="Calibri" w:hAnsi="Calibri"/>
          <w:color w:val="2F4E65"/>
          <w:sz w:val="24"/>
        </w:rPr>
        <w:t>Phase 5 — Escalation</w:t>
      </w:r>
    </w:p>
    <w:p>
      <w:pPr>
        <w:pStyle w:val="ListNumber"/>
      </w:pPr>
      <w:r>
        <w:rPr>
          <w:rFonts w:ascii="Calibri" w:hAnsi="Calibri"/>
          <w:color w:val="2F4E65"/>
          <w:sz w:val="22"/>
        </w:rPr>
        <w:t>If not cured, or a second violation of the same nature occurs within 12 months: Evictions Team prepares the attorney intake packet (all notices, proofs of service, photos, ledger) per the SOP 107 intake standard.</w:t>
      </w:r>
    </w:p>
    <w:p>
      <w:pPr>
        <w:pStyle w:val="ListNumber"/>
      </w:pPr>
      <w:r>
        <w:rPr>
          <w:rFonts w:ascii="Calibri" w:hAnsi="Calibri"/>
          <w:color w:val="2F4E65"/>
          <w:sz w:val="22"/>
        </w:rPr>
        <w:t>Regional Manager — final review; Director of Operations and evictions@parakeetcommunities.com copied on the attorney handoff.</w:t>
      </w:r>
    </w:p>
    <w:p>
      <w:pPr>
        <w:pStyle w:val="ListNumber"/>
      </w:pPr>
      <w:r>
        <w:rPr>
          <w:rFonts w:ascii="Calibri" w:hAnsi="Calibri"/>
          <w:color w:val="2F4E65"/>
          <w:sz w:val="22"/>
        </w:rPr>
        <w:t>Track A second violations: confirm the first-violation notice was served within 30 days of the first violation and the eviction notice gives at least 30 days before the required vacate date.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Every violation: Rent Manager issue + History &amp; Notes entry, photos, notice PDF, proof of service.</w:t>
      </w:r>
    </w:p>
    <w:p>
      <w:pPr>
        <w:pStyle w:val="ListBullet"/>
      </w:pPr>
      <w:r>
        <w:rPr>
          <w:rFonts w:ascii="Calibri" w:hAnsi="Calibri"/>
          <w:color w:val="2F4E65"/>
          <w:sz w:val="22"/>
        </w:rPr>
        <w:t>A violation without a paper trail did not happen. If the file cannot support an eviction six months from now, the documentation is incomplete.</w:t>
      </w:r>
    </w:p>
    <w:p>
      <w:pPr>
        <w:pStyle w:val="ListBullet"/>
      </w:pPr>
      <w:r>
        <w:rPr>
          <w:rFonts w:ascii="Calibri" w:hAnsi="Calibri"/>
          <w:color w:val="2F4E65"/>
          <w:sz w:val="22"/>
        </w:rPr>
        <w:t>Retention: 7 years.</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B136CB-24DB-4225-8272-DC514F7F9E05}"/>
</file>

<file path=customXml/itemProps3.xml><?xml version="1.0" encoding="utf-8"?>
<ds:datastoreItem xmlns:ds="http://schemas.openxmlformats.org/officeDocument/2006/customXml" ds:itemID="{718D824C-B665-43B2-870F-93718AC119F9}"/>
</file>

<file path=customXml/itemProps4.xml><?xml version="1.0" encoding="utf-8"?>
<ds:datastoreItem xmlns:ds="http://schemas.openxmlformats.org/officeDocument/2006/customXml" ds:itemID="{4B653E58-508B-482F-880F-B80BA30BB0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