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41323" cy="502920"/>
            <wp:docPr id="1" name="Picture 1"/>
            <wp:cNvGraphicFramePr>
              <a:graphicFrameLocks noChangeAspect="1"/>
            </wp:cNvGraphicFramePr>
            <a:graphic>
              <a:graphicData uri="http://schemas.openxmlformats.org/drawingml/2006/picture">
                <pic:pic>
                  <pic:nvPicPr>
                    <pic:cNvPr id="0" name="logo_with_tagline.png"/>
                    <pic:cNvPicPr/>
                  </pic:nvPicPr>
                  <pic:blipFill>
                    <a:blip r:embed="rId9"/>
                    <a:stretch>
                      <a:fillRect/>
                    </a:stretch>
                  </pic:blipFill>
                  <pic:spPr>
                    <a:xfrm>
                      <a:off x="0" y="0"/>
                      <a:ext cx="1641323" cy="502920"/>
                    </a:xfrm>
                    <a:prstGeom prst="rect"/>
                  </pic:spPr>
                </pic:pic>
              </a:graphicData>
            </a:graphic>
          </wp:inline>
        </w:drawing>
      </w:r>
    </w:p>
    <w:p>
      <w:r>
        <w:rPr>
          <w:rFonts w:ascii="Calibri" w:hAnsi="Calibri"/>
          <w:b/>
          <w:color w:val="2F4E65"/>
          <w:sz w:val="44"/>
        </w:rPr>
        <w:t>Operational Procedure 811: Rent Increase &amp; Term Changes (GA)</w:t>
      </w:r>
    </w:p>
    <w:p>
      <w:r>
        <w:rPr>
          <w:rFonts w:ascii="Calibri" w:hAnsi="Calibri"/>
          <w:b/>
          <w:color w:val="4ABA81"/>
          <w:sz w:val="26"/>
        </w:rPr>
        <w:t>Parakeet Communities  ·  Georgia Compliance SOP</w:t>
      </w:r>
    </w:p>
    <w:tbl>
      <w:tblPr>
        <w:tblStyle w:val="TableGrid"/>
        <w:tblW w:type="auto" w:w="0"/>
        <w:tblLook w:firstColumn="1" w:firstRow="1" w:lastColumn="0" w:lastRow="0" w:noHBand="0" w:noVBand="1" w:val="04A0"/>
      </w:tblPr>
      <w:tblGrid>
        <w:gridCol w:w="4968"/>
        <w:gridCol w:w="4968"/>
      </w:tblGrid>
      <w:tr>
        <w:tc>
          <w:tcPr>
            <w:tcW w:type="dxa" w:w="2448"/>
            <w:shd w:val="clear" w:fill="2F4E65"/>
          </w:tcPr>
          <w:p>
            <w:r/>
            <w:r>
              <w:rPr>
                <w:rFonts w:ascii="Calibri" w:hAnsi="Calibri"/>
                <w:b/>
                <w:color w:val="FFFFFF"/>
                <w:sz w:val="20"/>
              </w:rPr>
              <w:t>Process Owner</w:t>
            </w:r>
          </w:p>
        </w:tc>
        <w:tc>
          <w:tcPr>
            <w:tcW w:type="dxa" w:w="7488"/>
          </w:tcPr>
          <w:p>
            <w:r/>
            <w:r>
              <w:rPr>
                <w:rFonts w:ascii="Calibri" w:hAnsi="Calibri"/>
                <w:b w:val="0"/>
                <w:color w:val="2F4E65"/>
                <w:sz w:val="20"/>
              </w:rPr>
              <w:t>Natalie Magurne, Director of Operations</w:t>
            </w:r>
          </w:p>
        </w:tc>
      </w:tr>
      <w:tr>
        <w:tc>
          <w:tcPr>
            <w:tcW w:type="dxa" w:w="2448"/>
            <w:shd w:val="clear" w:fill="2F4E65"/>
          </w:tcPr>
          <w:p>
            <w:r/>
            <w:r>
              <w:rPr>
                <w:rFonts w:ascii="Calibri" w:hAnsi="Calibri"/>
                <w:b/>
                <w:color w:val="FFFFFF"/>
                <w:sz w:val="20"/>
              </w:rPr>
              <w:t>Applies To</w:t>
            </w:r>
          </w:p>
        </w:tc>
        <w:tc>
          <w:tcPr>
            <w:tcW w:type="dxa" w:w="7488"/>
          </w:tcPr>
          <w:p>
            <w:r/>
            <w:r>
              <w:rPr>
                <w:rFonts w:ascii="Calibri" w:hAnsi="Calibri"/>
                <w:b w:val="0"/>
                <w:color w:val="2F4E65"/>
                <w:sz w:val="20"/>
              </w:rPr>
              <w:t>Asset Management / Finance, Legal / Compliance, Regional Managers, Community Managers — GEORGIA communities</w:t>
            </w:r>
          </w:p>
        </w:tc>
      </w:tr>
      <w:tr>
        <w:tc>
          <w:tcPr>
            <w:tcW w:type="dxa" w:w="2448"/>
            <w:shd w:val="clear" w:fill="2F4E65"/>
          </w:tcPr>
          <w:p>
            <w:r/>
            <w:r>
              <w:rPr>
                <w:rFonts w:ascii="Calibri" w:hAnsi="Calibri"/>
                <w:b/>
                <w:color w:val="FFFFFF"/>
                <w:sz w:val="20"/>
              </w:rPr>
              <w:t>Jurisdiction</w:t>
            </w:r>
          </w:p>
        </w:tc>
        <w:tc>
          <w:tcPr>
            <w:tcW w:type="dxa" w:w="7488"/>
          </w:tcPr>
          <w:p>
            <w:r/>
            <w:r>
              <w:rPr>
                <w:rFonts w:ascii="Calibri" w:hAnsi="Calibri"/>
                <w:b w:val="0"/>
                <w:color w:val="2F4E65"/>
                <w:sz w:val="20"/>
              </w:rPr>
              <w:t>GEORGIA communities only (Florida set: SOP 801-806; South Carolina set: SOP 821-824)</w:t>
            </w:r>
          </w:p>
        </w:tc>
      </w:tr>
      <w:tr>
        <w:tc>
          <w:tcPr>
            <w:tcW w:type="dxa" w:w="2448"/>
            <w:shd w:val="clear" w:fill="2F4E65"/>
          </w:tcPr>
          <w:p>
            <w:r/>
            <w:r>
              <w:rPr>
                <w:rFonts w:ascii="Calibri" w:hAnsi="Calibri"/>
                <w:b/>
                <w:color w:val="FFFFFF"/>
                <w:sz w:val="20"/>
              </w:rPr>
              <w:t>Legal Basis</w:t>
            </w:r>
          </w:p>
        </w:tc>
        <w:tc>
          <w:tcPr>
            <w:tcW w:type="dxa" w:w="7488"/>
          </w:tcPr>
          <w:p>
            <w:r/>
            <w:r>
              <w:rPr>
                <w:rFonts w:ascii="Calibri" w:hAnsi="Calibri"/>
                <w:b w:val="0"/>
                <w:color w:val="2F4E65"/>
                <w:sz w:val="20"/>
              </w:rPr>
              <w:t>O.C.G.A. 44-7-7 (tenancy at will — 60-day notice); 44-7-1 et seq.; lot rental agreement terms</w:t>
            </w:r>
          </w:p>
        </w:tc>
      </w:tr>
      <w:tr>
        <w:tc>
          <w:tcPr>
            <w:tcW w:type="dxa" w:w="2448"/>
            <w:shd w:val="clear" w:fill="2F4E65"/>
          </w:tcPr>
          <w:p>
            <w:r/>
            <w:r>
              <w:rPr>
                <w:rFonts w:ascii="Calibri" w:hAnsi="Calibri"/>
                <w:b/>
                <w:color w:val="FFFFFF"/>
                <w:sz w:val="20"/>
              </w:rPr>
              <w:t>Primary System</w:t>
            </w:r>
          </w:p>
        </w:tc>
        <w:tc>
          <w:tcPr>
            <w:tcW w:type="dxa" w:w="7488"/>
          </w:tcPr>
          <w:p>
            <w:r/>
            <w:r>
              <w:rPr>
                <w:rFonts w:ascii="Calibri" w:hAnsi="Calibri"/>
                <w:b w:val="0"/>
                <w:color w:val="2F4E65"/>
                <w:sz w:val="20"/>
              </w:rPr>
              <w:t>Rent Manager</w:t>
            </w:r>
          </w:p>
        </w:tc>
      </w:tr>
      <w:tr>
        <w:tc>
          <w:tcPr>
            <w:tcW w:type="dxa" w:w="2448"/>
            <w:shd w:val="clear" w:fill="2F4E65"/>
          </w:tcPr>
          <w:p>
            <w:r/>
            <w:r>
              <w:rPr>
                <w:rFonts w:ascii="Calibri" w:hAnsi="Calibri"/>
                <w:b/>
                <w:color w:val="FFFFFF"/>
                <w:sz w:val="20"/>
              </w:rPr>
              <w:t>Status</w:t>
            </w:r>
          </w:p>
        </w:tc>
        <w:tc>
          <w:tcPr>
            <w:tcW w:type="dxa" w:w="7488"/>
          </w:tcPr>
          <w:p>
            <w:r/>
            <w:r>
              <w:rPr>
                <w:rFonts w:ascii="Calibri" w:hAnsi="Calibri"/>
                <w:b w:val="0"/>
                <w:color w:val="2F4E65"/>
                <w:sz w:val="20"/>
              </w:rPr>
              <w:t>DRAFT V1 — Pending Review</w:t>
            </w:r>
          </w:p>
        </w:tc>
      </w:tr>
      <w:tr>
        <w:tc>
          <w:tcPr>
            <w:tcW w:type="dxa" w:w="2448"/>
            <w:shd w:val="clear" w:fill="2F4E65"/>
          </w:tcPr>
          <w:p>
            <w:r/>
            <w:r>
              <w:rPr>
                <w:rFonts w:ascii="Calibri" w:hAnsi="Calibri"/>
                <w:b/>
                <w:color w:val="FFFFFF"/>
                <w:sz w:val="20"/>
              </w:rPr>
              <w:t>Effective Date</w:t>
            </w:r>
          </w:p>
        </w:tc>
        <w:tc>
          <w:tcPr>
            <w:tcW w:type="dxa" w:w="7488"/>
          </w:tcPr>
          <w:p>
            <w:r/>
            <w:r>
              <w:rPr>
                <w:rFonts w:ascii="Calibri" w:hAnsi="Calibri"/>
                <w:b w:val="0"/>
                <w:color w:val="2F4E65"/>
                <w:sz w:val="20"/>
              </w:rPr>
              <w:t>_________________ (upon approval)</w:t>
            </w:r>
          </w:p>
        </w:tc>
      </w:tr>
      <w:tr>
        <w:tc>
          <w:tcPr>
            <w:tcW w:type="dxa" w:w="2448"/>
            <w:shd w:val="clear" w:fill="2F4E65"/>
          </w:tcPr>
          <w:p>
            <w:r/>
            <w:r>
              <w:rPr>
                <w:rFonts w:ascii="Calibri" w:hAnsi="Calibri"/>
                <w:b/>
                <w:color w:val="FFFFFF"/>
                <w:sz w:val="20"/>
              </w:rPr>
              <w:t>Last Revised</w:t>
            </w:r>
          </w:p>
        </w:tc>
        <w:tc>
          <w:tcPr>
            <w:tcW w:type="dxa" w:w="7488"/>
          </w:tcPr>
          <w:p>
            <w:r/>
            <w:r>
              <w:rPr>
                <w:rFonts w:ascii="Calibri" w:hAnsi="Calibri"/>
                <w:b w:val="0"/>
                <w:color w:val="2F4E65"/>
                <w:sz w:val="20"/>
              </w:rPr>
              <w:t>August 6, 2026 — drafted from the current O.C.G.A. Title 44, Chapter 7 (incl. 2024 amendments)</w:t>
            </w:r>
          </w:p>
        </w:tc>
      </w:tr>
    </w:tbl>
    <w:p/>
    <w:p>
      <w:r>
        <w:rPr>
          <w:rFonts w:ascii="Calibri" w:hAnsi="Calibri"/>
          <w:b/>
          <w:color w:val="F16262"/>
          <w:sz w:val="18"/>
        </w:rPr>
        <w:t>LEGAL REVIEW REQUIRED: This SOP restates timelines from O.C.G.A. Title 44, Chapter 7, including the 2024 amendments effective for leases entered into or renewed on or after July 1, 2024. Georgia counsel must review and approve before rollout. Where a lease is more specific than statute, the lease controls.</w:t>
      </w:r>
    </w:p>
    <w:p>
      <w:pPr>
        <w:pStyle w:val="Heading1"/>
      </w:pPr>
      <w:r>
        <w:rPr>
          <w:rFonts w:ascii="Calibri" w:hAnsi="Calibri"/>
          <w:color w:val="2F4E65"/>
          <w:sz w:val="30"/>
        </w:rPr>
        <w:t>PURPOSE</w:t>
      </w:r>
    </w:p>
    <w:p>
      <w:r>
        <w:rPr>
          <w:rFonts w:ascii="Calibri" w:hAnsi="Calibri"/>
          <w:b w:val="0"/>
          <w:color w:val="2F4E65"/>
          <w:sz w:val="22"/>
        </w:rPr>
        <w:t>To raise lot rent and home rent at Georgia communities without voiding the increase or accidentally extending the old rate. Georgia has no 90-day statutory increase notice like Florida — the lease term and O.C.G.A. 44-7-7 control. The risk in Georgia is not a statutory penalty; it is an unenforceable increase because the lease was not followed or the tenancy-at-will notice was short.</w:t>
      </w:r>
    </w:p>
    <w:p>
      <w:r>
        <w:rPr>
          <w:rFonts w:ascii="Calibri" w:hAnsi="Calibri"/>
          <w:b/>
          <w:color w:val="2F4E65"/>
          <w:sz w:val="20"/>
        </w:rPr>
        <w:t>GEORGIA HAS NO MANUFACTURED-HOME-PARK-SPECIFIC TENANCY ACT. Unlike Florida (Ch. 723) and South Carolina (Ch. 27-47), Georgia lot tenancies and park-owned home rentals both run under the general landlord-tenant law, O.C.G.A. Title 44, Chapter 7. That means the LEASE does the heavy lifting in Georgia — what the statute does not regulate, the lot rental agreement must.</w:t>
      </w:r>
    </w:p>
    <w:p>
      <w:pPr>
        <w:pStyle w:val="Heading1"/>
      </w:pPr>
      <w:r>
        <w:rPr>
          <w:rFonts w:ascii="Calibri" w:hAnsi="Calibri"/>
          <w:color w:val="2F4E65"/>
          <w:sz w:val="30"/>
        </w:rPr>
        <w:t>SCOPE</w:t>
      </w:r>
    </w:p>
    <w:p>
      <w:pPr>
        <w:pStyle w:val="Heading2"/>
      </w:pPr>
      <w:r>
        <w:rPr>
          <w:rFonts w:ascii="Calibri" w:hAnsi="Calibri"/>
          <w:color w:val="2F4E65"/>
          <w:sz w:val="24"/>
        </w:rPr>
        <w:t>Applies To</w:t>
      </w:r>
    </w:p>
    <w:p>
      <w:pPr>
        <w:pStyle w:val="ListBullet"/>
      </w:pPr>
      <w:r>
        <w:rPr>
          <w:rFonts w:ascii="Calibri" w:hAnsi="Calibri"/>
          <w:color w:val="2F4E65"/>
          <w:sz w:val="22"/>
        </w:rPr>
        <w:t>All Georgia communities — lot tenancies and park-owned home rentals</w:t>
      </w:r>
    </w:p>
    <w:p>
      <w:pPr>
        <w:pStyle w:val="ListBullet"/>
      </w:pPr>
      <w:r>
        <w:rPr>
          <w:rFonts w:ascii="Calibri" w:hAnsi="Calibri"/>
          <w:color w:val="2F4E65"/>
          <w:sz w:val="22"/>
        </w:rPr>
        <w:t>Asset Management / Finance — increase schedule from budget</w:t>
      </w:r>
    </w:p>
    <w:p>
      <w:pPr>
        <w:pStyle w:val="ListBullet"/>
      </w:pPr>
      <w:r>
        <w:rPr>
          <w:rFonts w:ascii="Calibri" w:hAnsi="Calibri"/>
          <w:color w:val="2F4E65"/>
          <w:sz w:val="22"/>
        </w:rPr>
        <w:t>Legal / Compliance — lease audit, notice approval</w:t>
      </w:r>
    </w:p>
    <w:p>
      <w:pPr>
        <w:pStyle w:val="ListBullet"/>
      </w:pPr>
      <w:r>
        <w:rPr>
          <w:rFonts w:ascii="Calibri" w:hAnsi="Calibri"/>
          <w:color w:val="2F4E65"/>
          <w:sz w:val="22"/>
        </w:rPr>
        <w:t>Regional Managers and Community Managers — service and documentation</w:t>
      </w:r>
    </w:p>
    <w:p>
      <w:pPr>
        <w:pStyle w:val="Heading2"/>
      </w:pPr>
      <w:r>
        <w:rPr>
          <w:rFonts w:ascii="Calibri" w:hAnsi="Calibri"/>
          <w:color w:val="2F4E65"/>
          <w:sz w:val="24"/>
        </w:rPr>
        <w:t>Trigger</w:t>
      </w:r>
    </w:p>
    <w:p>
      <w:r>
        <w:rPr>
          <w:rFonts w:ascii="Calibri" w:hAnsi="Calibri"/>
          <w:b w:val="0"/>
          <w:color w:val="2F4E65"/>
          <w:sz w:val="22"/>
        </w:rPr>
        <w:t>Annual budget approval sets the increase schedule; or a lease renewal window opens.</w:t>
      </w:r>
    </w:p>
    <w:p>
      <w:pPr>
        <w:pStyle w:val="Heading2"/>
      </w:pPr>
      <w:r>
        <w:rPr>
          <w:rFonts w:ascii="Calibri" w:hAnsi="Calibri"/>
          <w:color w:val="2F4E65"/>
          <w:sz w:val="24"/>
        </w:rPr>
        <w:t>Finish Line</w:t>
      </w:r>
    </w:p>
    <w:p>
      <w:r>
        <w:rPr>
          <w:rFonts w:ascii="Calibri" w:hAnsi="Calibri"/>
          <w:b w:val="0"/>
          <w:color w:val="2F4E65"/>
          <w:sz w:val="22"/>
        </w:rPr>
        <w:t>Increase effective in Rent Manager with a compliant, documented notice trail; no account left on an expired term without either a renewal or a proper 60-day tenancy-at-will notice.</w:t>
      </w:r>
    </w:p>
    <w:p>
      <w:pPr>
        <w:pStyle w:val="Heading1"/>
      </w:pPr>
      <w:r>
        <w:rPr>
          <w:rFonts w:ascii="Calibri" w:hAnsi="Calibri"/>
          <w:color w:val="2F4E65"/>
          <w:sz w:val="30"/>
        </w:rPr>
        <w:t>ROLES &amp; RESPONSIBILITIES</w:t>
      </w:r>
    </w:p>
    <w:tbl>
      <w:tblPr>
        <w:tblStyle w:val="TableGrid"/>
        <w:tblW w:type="auto" w:w="0"/>
        <w:tblLook w:firstColumn="1" w:firstRow="1" w:lastColumn="0" w:lastRow="0" w:noHBand="0" w:noVBand="1" w:val="04A0"/>
      </w:tblPr>
      <w:tblGrid>
        <w:gridCol w:w="4968"/>
        <w:gridCol w:w="4968"/>
      </w:tblGrid>
      <w:tr>
        <w:tc>
          <w:tcPr>
            <w:tcW w:type="dxa" w:w="3168"/>
            <w:shd w:val="clear" w:fill="2F4E65"/>
          </w:tcPr>
          <w:p>
            <w:r/>
            <w:r>
              <w:rPr>
                <w:rFonts w:ascii="Calibri" w:hAnsi="Calibri"/>
                <w:b/>
                <w:color w:val="FFFFFF"/>
                <w:sz w:val="20"/>
              </w:rPr>
              <w:t>Role</w:t>
            </w:r>
          </w:p>
        </w:tc>
        <w:tc>
          <w:tcPr>
            <w:tcW w:type="dxa" w:w="6768"/>
            <w:shd w:val="clear" w:fill="2F4E65"/>
          </w:tcPr>
          <w:p>
            <w:r/>
            <w:r>
              <w:rPr>
                <w:rFonts w:ascii="Calibri" w:hAnsi="Calibri"/>
                <w:b/>
                <w:color w:val="FFFFFF"/>
                <w:sz w:val="20"/>
              </w:rPr>
              <w:t>Responsibility</w:t>
            </w:r>
          </w:p>
        </w:tc>
      </w:tr>
      <w:tr>
        <w:tc>
          <w:tcPr>
            <w:tcW w:type="dxa" w:w="3168"/>
          </w:tcPr>
          <w:p>
            <w:r/>
            <w:r>
              <w:rPr>
                <w:rFonts w:ascii="Calibri" w:hAnsi="Calibri"/>
                <w:b w:val="0"/>
                <w:color w:val="2F4E65"/>
                <w:sz w:val="20"/>
              </w:rPr>
              <w:t>Asset Management / Finance</w:t>
            </w:r>
          </w:p>
        </w:tc>
        <w:tc>
          <w:tcPr>
            <w:tcW w:type="dxa" w:w="6768"/>
          </w:tcPr>
          <w:p>
            <w:r/>
            <w:r>
              <w:rPr>
                <w:rFonts w:ascii="Calibri" w:hAnsi="Calibri"/>
                <w:b w:val="0"/>
                <w:color w:val="2F4E65"/>
                <w:sz w:val="20"/>
              </w:rPr>
              <w:t>Builds the increase schedule from budget by community and lease anniversary</w:t>
            </w:r>
          </w:p>
        </w:tc>
      </w:tr>
      <w:tr>
        <w:tc>
          <w:tcPr>
            <w:tcW w:type="dxa" w:w="3168"/>
            <w:shd w:val="clear" w:fill="F5F7F8"/>
          </w:tcPr>
          <w:p>
            <w:r/>
            <w:r>
              <w:rPr>
                <w:rFonts w:ascii="Calibri" w:hAnsi="Calibri"/>
                <w:b w:val="0"/>
                <w:color w:val="2F4E65"/>
                <w:sz w:val="20"/>
              </w:rPr>
              <w:t>Legal / Compliance</w:t>
            </w:r>
          </w:p>
        </w:tc>
        <w:tc>
          <w:tcPr>
            <w:tcW w:type="dxa" w:w="6768"/>
            <w:shd w:val="clear" w:fill="F5F7F8"/>
          </w:tcPr>
          <w:p>
            <w:r/>
            <w:r>
              <w:rPr>
                <w:rFonts w:ascii="Calibri" w:hAnsi="Calibri"/>
                <w:b w:val="0"/>
                <w:color w:val="2F4E65"/>
                <w:sz w:val="20"/>
              </w:rPr>
              <w:t>Confirms what each lease form allows (increase mechanics, notice method, renewal language); approves the notice package</w:t>
            </w:r>
          </w:p>
        </w:tc>
      </w:tr>
      <w:tr>
        <w:tc>
          <w:tcPr>
            <w:tcW w:type="dxa" w:w="3168"/>
          </w:tcPr>
          <w:p>
            <w:r/>
            <w:r>
              <w:rPr>
                <w:rFonts w:ascii="Calibri" w:hAnsi="Calibri"/>
                <w:b w:val="0"/>
                <w:color w:val="2F4E65"/>
                <w:sz w:val="20"/>
              </w:rPr>
              <w:t>Operations Coordinator</w:t>
            </w:r>
          </w:p>
        </w:tc>
        <w:tc>
          <w:tcPr>
            <w:tcW w:type="dxa" w:w="6768"/>
          </w:tcPr>
          <w:p>
            <w:r/>
            <w:r>
              <w:rPr>
                <w:rFonts w:ascii="Calibri" w:hAnsi="Calibri"/>
                <w:b w:val="0"/>
                <w:color w:val="2F4E65"/>
                <w:sz w:val="20"/>
              </w:rPr>
              <w:t>Generates notices from the Georgia template in Rent Manager</w:t>
            </w:r>
          </w:p>
        </w:tc>
      </w:tr>
      <w:tr>
        <w:tc>
          <w:tcPr>
            <w:tcW w:type="dxa" w:w="3168"/>
            <w:shd w:val="clear" w:fill="F5F7F8"/>
          </w:tcPr>
          <w:p>
            <w:r/>
            <w:r>
              <w:rPr>
                <w:rFonts w:ascii="Calibri" w:hAnsi="Calibri"/>
                <w:b w:val="0"/>
                <w:color w:val="2F4E65"/>
                <w:sz w:val="20"/>
              </w:rPr>
              <w:t>Regional Manager</w:t>
            </w:r>
          </w:p>
        </w:tc>
        <w:tc>
          <w:tcPr>
            <w:tcW w:type="dxa" w:w="6768"/>
            <w:shd w:val="clear" w:fill="F5F7F8"/>
          </w:tcPr>
          <w:p>
            <w:r/>
            <w:r>
              <w:rPr>
                <w:rFonts w:ascii="Calibri" w:hAnsi="Calibri"/>
                <w:b w:val="0"/>
                <w:color w:val="2F4E65"/>
                <w:sz w:val="20"/>
              </w:rPr>
              <w:t>Accuracy review; monitors expired-lease inventory monthly</w:t>
            </w:r>
          </w:p>
        </w:tc>
      </w:tr>
      <w:tr>
        <w:tc>
          <w:tcPr>
            <w:tcW w:type="dxa" w:w="3168"/>
          </w:tcPr>
          <w:p>
            <w:r/>
            <w:r>
              <w:rPr>
                <w:rFonts w:ascii="Calibri" w:hAnsi="Calibri"/>
                <w:b w:val="0"/>
                <w:color w:val="2F4E65"/>
                <w:sz w:val="20"/>
              </w:rPr>
              <w:t>Community Manager</w:t>
            </w:r>
          </w:p>
        </w:tc>
        <w:tc>
          <w:tcPr>
            <w:tcW w:type="dxa" w:w="6768"/>
          </w:tcPr>
          <w:p>
            <w:r/>
            <w:r>
              <w:rPr>
                <w:rFonts w:ascii="Calibri" w:hAnsi="Calibri"/>
                <w:b w:val="0"/>
                <w:color w:val="2F4E65"/>
                <w:sz w:val="20"/>
              </w:rPr>
              <w:t>Serves notices per the lease method, documents proof in Rent Manager</w:t>
            </w:r>
          </w:p>
        </w:tc>
      </w:tr>
    </w:tbl>
    <w:p>
      <w:pPr>
        <w:pStyle w:val="Heading1"/>
      </w:pPr>
      <w:r>
        <w:rPr>
          <w:rFonts w:ascii="Calibri" w:hAnsi="Calibri"/>
          <w:color w:val="2F4E65"/>
          <w:sz w:val="30"/>
        </w:rPr>
        <w:t>GEORGIA COMPLIANCE REQUIREMENTS — HARD DEADLINES</w:t>
      </w:r>
    </w:p>
    <w:p>
      <w:r>
        <w:rPr>
          <w:rFonts w:ascii="Calibri" w:hAnsi="Calibri"/>
          <w:b w:val="0"/>
          <w:color w:val="2F4E65"/>
          <w:sz w:val="20"/>
        </w:rPr>
        <w:t>These timelines are statutory. Missing one voids the action or exposes the company to penalties and fee awards. When counting days, follow the statute exactly; when in doubt, add days, never subtract.</w:t>
      </w:r>
    </w:p>
    <w:tbl>
      <w:tblPr>
        <w:tblStyle w:val="TableGrid"/>
        <w:tblW w:type="auto" w:w="0"/>
        <w:tblLook w:firstColumn="1" w:firstRow="1" w:lastColumn="0" w:lastRow="0" w:noHBand="0" w:noVBand="1" w:val="04A0"/>
      </w:tblPr>
      <w:tblGrid>
        <w:gridCol w:w="3312"/>
        <w:gridCol w:w="3312"/>
        <w:gridCol w:w="3312"/>
      </w:tblGrid>
      <w:tr>
        <w:tc>
          <w:tcPr>
            <w:tcW w:type="dxa" w:w="3888"/>
            <w:shd w:val="clear" w:fill="2F4E65"/>
          </w:tcPr>
          <w:p>
            <w:r/>
            <w:r>
              <w:rPr>
                <w:rFonts w:ascii="Calibri" w:hAnsi="Calibri"/>
                <w:b/>
                <w:color w:val="FFFFFF"/>
                <w:sz w:val="20"/>
              </w:rPr>
              <w:t>Requirement</w:t>
            </w:r>
          </w:p>
        </w:tc>
        <w:tc>
          <w:tcPr>
            <w:tcW w:type="dxa" w:w="3888"/>
            <w:shd w:val="clear" w:fill="2F4E65"/>
          </w:tcPr>
          <w:p>
            <w:r/>
            <w:r>
              <w:rPr>
                <w:rFonts w:ascii="Calibri" w:hAnsi="Calibri"/>
                <w:b/>
                <w:color w:val="FFFFFF"/>
                <w:sz w:val="20"/>
              </w:rPr>
              <w:t>Deadline / Standard</w:t>
            </w:r>
          </w:p>
        </w:tc>
        <w:tc>
          <w:tcPr>
            <w:tcW w:type="dxa" w:w="2160"/>
            <w:shd w:val="clear" w:fill="2F4E65"/>
          </w:tcPr>
          <w:p>
            <w:r/>
            <w:r>
              <w:rPr>
                <w:rFonts w:ascii="Calibri" w:hAnsi="Calibri"/>
                <w:b/>
                <w:color w:val="FFFFFF"/>
                <w:sz w:val="20"/>
              </w:rPr>
              <w:t>Citation</w:t>
            </w:r>
          </w:p>
        </w:tc>
      </w:tr>
      <w:tr>
        <w:tc>
          <w:tcPr>
            <w:tcW w:type="dxa" w:w="3888"/>
          </w:tcPr>
          <w:p>
            <w:r/>
            <w:r>
              <w:rPr>
                <w:rFonts w:ascii="Calibri" w:hAnsi="Calibri"/>
                <w:b w:val="0"/>
                <w:color w:val="2F4E65"/>
                <w:sz w:val="20"/>
              </w:rPr>
              <w:t>Fixed-term lease</w:t>
            </w:r>
          </w:p>
        </w:tc>
        <w:tc>
          <w:tcPr>
            <w:tcW w:type="dxa" w:w="3888"/>
          </w:tcPr>
          <w:p>
            <w:r/>
            <w:r>
              <w:rPr>
                <w:rFonts w:ascii="Calibri" w:hAnsi="Calibri"/>
                <w:b w:val="0"/>
                <w:color w:val="2F4E65"/>
                <w:sz w:val="20"/>
              </w:rPr>
              <w:t>No mid-term increase unless the lease explicitly allows it; increase takes effect at renewal per the lease renewal-notice clause</w:t>
            </w:r>
          </w:p>
        </w:tc>
        <w:tc>
          <w:tcPr>
            <w:tcW w:type="dxa" w:w="2160"/>
          </w:tcPr>
          <w:p>
            <w:r/>
            <w:r>
              <w:rPr>
                <w:rFonts w:ascii="Calibri" w:hAnsi="Calibri"/>
                <w:b w:val="0"/>
                <w:color w:val="2F4E65"/>
                <w:sz w:val="20"/>
              </w:rPr>
              <w:t>Lease terms; O.C.G.A. Title 44, Ch. 7</w:t>
            </w:r>
          </w:p>
        </w:tc>
      </w:tr>
      <w:tr>
        <w:tc>
          <w:tcPr>
            <w:tcW w:type="dxa" w:w="3888"/>
            <w:shd w:val="clear" w:fill="F5F7F8"/>
          </w:tcPr>
          <w:p>
            <w:r/>
            <w:r>
              <w:rPr>
                <w:rFonts w:ascii="Calibri" w:hAnsi="Calibri"/>
                <w:b w:val="0"/>
                <w:color w:val="2F4E65"/>
                <w:sz w:val="20"/>
              </w:rPr>
              <w:t>Tenancy at will / month-to-month (incl. expired leases that rolled over)</w:t>
            </w:r>
          </w:p>
        </w:tc>
        <w:tc>
          <w:tcPr>
            <w:tcW w:type="dxa" w:w="3888"/>
            <w:shd w:val="clear" w:fill="F5F7F8"/>
          </w:tcPr>
          <w:p>
            <w:r/>
            <w:r>
              <w:rPr>
                <w:rFonts w:ascii="Calibri" w:hAnsi="Calibri"/>
                <w:b w:val="0"/>
                <w:color w:val="2F4E65"/>
                <w:sz w:val="20"/>
              </w:rPr>
              <w:t>A rent increase is a change in terms: give at least 60 DAYS written notice before the effective date (a landlord needs 60 days to terminate or modify a tenancy at will; tenant owes 30)</w:t>
            </w:r>
          </w:p>
        </w:tc>
        <w:tc>
          <w:tcPr>
            <w:tcW w:type="dxa" w:w="2160"/>
            <w:shd w:val="clear" w:fill="F5F7F8"/>
          </w:tcPr>
          <w:p>
            <w:r/>
            <w:r>
              <w:rPr>
                <w:rFonts w:ascii="Calibri" w:hAnsi="Calibri"/>
                <w:b w:val="0"/>
                <w:color w:val="2F4E65"/>
                <w:sz w:val="20"/>
              </w:rPr>
              <w:t>O.C.G.A. 44-7-7</w:t>
            </w:r>
          </w:p>
        </w:tc>
      </w:tr>
      <w:tr>
        <w:tc>
          <w:tcPr>
            <w:tcW w:type="dxa" w:w="3888"/>
          </w:tcPr>
          <w:p>
            <w:r/>
            <w:r>
              <w:rPr>
                <w:rFonts w:ascii="Calibri" w:hAnsi="Calibri"/>
                <w:b w:val="0"/>
                <w:color w:val="2F4E65"/>
                <w:sz w:val="20"/>
              </w:rPr>
              <w:t>Notice method</w:t>
            </w:r>
          </w:p>
        </w:tc>
        <w:tc>
          <w:tcPr>
            <w:tcW w:type="dxa" w:w="3888"/>
          </w:tcPr>
          <w:p>
            <w:r/>
            <w:r>
              <w:rPr>
                <w:rFonts w:ascii="Calibri" w:hAnsi="Calibri"/>
                <w:b w:val="0"/>
                <w:color w:val="2F4E65"/>
                <w:sz w:val="20"/>
              </w:rPr>
              <w:t>Whatever the lease specifies; absent lease language, deliver in writing with proof (hand delivery with acknowledgment + first-class mail with certificate of mailing)</w:t>
            </w:r>
          </w:p>
        </w:tc>
        <w:tc>
          <w:tcPr>
            <w:tcW w:type="dxa" w:w="2160"/>
          </w:tcPr>
          <w:p>
            <w:r/>
            <w:r>
              <w:rPr>
                <w:rFonts w:ascii="Calibri" w:hAnsi="Calibri"/>
                <w:b w:val="0"/>
                <w:color w:val="2F4E65"/>
                <w:sz w:val="20"/>
              </w:rPr>
              <w:t>Lease; best practice</w:t>
            </w:r>
          </w:p>
        </w:tc>
      </w:tr>
      <w:tr>
        <w:tc>
          <w:tcPr>
            <w:tcW w:type="dxa" w:w="3888"/>
            <w:shd w:val="clear" w:fill="F5F7F8"/>
          </w:tcPr>
          <w:p>
            <w:r/>
            <w:r>
              <w:rPr>
                <w:rFonts w:ascii="Calibri" w:hAnsi="Calibri"/>
                <w:b w:val="0"/>
                <w:color w:val="2F4E65"/>
                <w:sz w:val="20"/>
              </w:rPr>
              <w:t>Parakeet internal standard</w:t>
            </w:r>
          </w:p>
        </w:tc>
        <w:tc>
          <w:tcPr>
            <w:tcW w:type="dxa" w:w="3888"/>
            <w:shd w:val="clear" w:fill="F5F7F8"/>
          </w:tcPr>
          <w:p>
            <w:r/>
            <w:r>
              <w:rPr>
                <w:rFonts w:ascii="Calibri" w:hAnsi="Calibri"/>
                <w:b w:val="0"/>
                <w:color w:val="2F4E65"/>
                <w:sz w:val="20"/>
              </w:rPr>
              <w:t>Serve ALL Georgia increase notices at least 60 days out regardless of lease type — one portfolio standard, no per-lease guesswork by field staff</w:t>
            </w:r>
          </w:p>
        </w:tc>
        <w:tc>
          <w:tcPr>
            <w:tcW w:type="dxa" w:w="2160"/>
            <w:shd w:val="clear" w:fill="F5F7F8"/>
          </w:tcPr>
          <w:p>
            <w:r/>
            <w:r>
              <w:rPr>
                <w:rFonts w:ascii="Calibri" w:hAnsi="Calibri"/>
                <w:b w:val="0"/>
                <w:color w:val="2F4E65"/>
                <w:sz w:val="20"/>
              </w:rPr>
              <w:t>Company policy</w:t>
            </w:r>
          </w:p>
        </w:tc>
      </w:tr>
    </w:tbl>
    <w:p>
      <w:pPr>
        <w:pStyle w:val="Heading1"/>
      </w:pPr>
      <w:r>
        <w:rPr>
          <w:rFonts w:ascii="Calibri" w:hAnsi="Calibri"/>
          <w:color w:val="2F4E65"/>
          <w:sz w:val="30"/>
        </w:rPr>
        <w:t>PROCEDURE</w:t>
      </w:r>
    </w:p>
    <w:p>
      <w:pPr>
        <w:pStyle w:val="Heading2"/>
      </w:pPr>
      <w:r>
        <w:rPr>
          <w:rFonts w:ascii="Calibri" w:hAnsi="Calibri"/>
          <w:color w:val="2F4E65"/>
          <w:sz w:val="24"/>
        </w:rPr>
        <w:t>Phase 1 — Planning  ·  T-120 to T-90 days</w:t>
      </w:r>
    </w:p>
    <w:p>
      <w:pPr>
        <w:pStyle w:val="ListNumber"/>
      </w:pPr>
      <w:r>
        <w:rPr>
          <w:rFonts w:ascii="Calibri" w:hAnsi="Calibri"/>
          <w:color w:val="2F4E65"/>
          <w:sz w:val="22"/>
        </w:rPr>
        <w:t>Asset Management / Finance — extracts approved increases and lease anniversary dates from Rent Manager for every Georgia account.</w:t>
      </w:r>
    </w:p>
    <w:p>
      <w:pPr>
        <w:pStyle w:val="ListNumber"/>
      </w:pPr>
      <w:r>
        <w:rPr>
          <w:rFonts w:ascii="Calibri" w:hAnsi="Calibri"/>
          <w:color w:val="2F4E65"/>
          <w:sz w:val="22"/>
        </w:rPr>
        <w:t>Legal / Compliance — audits the lease forms in use at each Georgia community ONCE ANNUALLY: increase mechanics, renewal notice requirements, permitted delivery methods. Flags accounts on expired leases (now tenancies at will — the 60-day rule applies).</w:t>
      </w:r>
    </w:p>
    <w:p>
      <w:pPr>
        <w:pStyle w:val="ListNumber"/>
      </w:pPr>
      <w:r>
        <w:rPr>
          <w:rFonts w:ascii="Calibri" w:hAnsi="Calibri"/>
          <w:color w:val="2F4E65"/>
          <w:sz w:val="22"/>
        </w:rPr>
        <w:t>Director of Operations — approves the schedule.</w:t>
      </w:r>
    </w:p>
    <w:p>
      <w:pPr>
        <w:pStyle w:val="Heading2"/>
      </w:pPr>
      <w:r>
        <w:rPr>
          <w:rFonts w:ascii="Calibri" w:hAnsi="Calibri"/>
          <w:color w:val="2F4E65"/>
          <w:sz w:val="24"/>
        </w:rPr>
        <w:t>Phase 2 — Notice  ·  no later than T-60 days</w:t>
      </w:r>
    </w:p>
    <w:p>
      <w:pPr>
        <w:pStyle w:val="ListNumber"/>
      </w:pPr>
      <w:r>
        <w:rPr>
          <w:rFonts w:ascii="Calibri" w:hAnsi="Calibri"/>
          <w:color w:val="2F4E65"/>
          <w:sz w:val="22"/>
        </w:rPr>
        <w:t>Operations Coordinator — generates the Georgia increase notice: current rent, new rent, effective date, and (for renewals) the new term.</w:t>
      </w:r>
    </w:p>
    <w:p>
      <w:pPr>
        <w:pStyle w:val="ListNumber"/>
      </w:pPr>
      <w:r>
        <w:rPr>
          <w:rFonts w:ascii="Calibri" w:hAnsi="Calibri"/>
          <w:color w:val="2F4E65"/>
          <w:sz w:val="22"/>
        </w:rPr>
        <w:t>Regional Manager — accuracy review against Rent Manager.</w:t>
      </w:r>
    </w:p>
    <w:p>
      <w:pPr>
        <w:pStyle w:val="ListNumber"/>
      </w:pPr>
      <w:r>
        <w:rPr>
          <w:rFonts w:ascii="Calibri" w:hAnsi="Calibri"/>
          <w:color w:val="2F4E65"/>
          <w:sz w:val="22"/>
        </w:rPr>
        <w:t>Community Manager — serves per the lease-specified method; default standard is hand delivery with signed acknowledgment PLUS first-class mail with certificate of mailing. Proof uploaded to Rent Manager History &amp; Notes same day (see SOP 813).</w:t>
      </w:r>
    </w:p>
    <w:p>
      <w:pPr>
        <w:pStyle w:val="Heading2"/>
      </w:pPr>
      <w:r>
        <w:rPr>
          <w:rFonts w:ascii="Calibri" w:hAnsi="Calibri"/>
          <w:color w:val="2F4E65"/>
          <w:sz w:val="24"/>
        </w:rPr>
        <w:t>Phase 3 — Effective Date</w:t>
      </w:r>
    </w:p>
    <w:p>
      <w:pPr>
        <w:pStyle w:val="ListNumber"/>
      </w:pPr>
      <w:r>
        <w:rPr>
          <w:rFonts w:ascii="Calibri" w:hAnsi="Calibri"/>
          <w:color w:val="2F4E65"/>
          <w:sz w:val="22"/>
        </w:rPr>
        <w:t>Operations Coordinator — batch-updates Rent Manager on the effective date; spot-checks 10% of accounts.</w:t>
      </w:r>
    </w:p>
    <w:p>
      <w:pPr>
        <w:pStyle w:val="ListNumber"/>
      </w:pPr>
      <w:r>
        <w:rPr>
          <w:rFonts w:ascii="Calibri" w:hAnsi="Calibri"/>
          <w:color w:val="2F4E65"/>
          <w:sz w:val="22"/>
        </w:rPr>
        <w:t>Regional Manager — monthly: reviews the expired-lease report. Every rolled-over account is a tenancy at will; renewals get signed or the 60-day discipline applies to every future change.</w:t>
      </w:r>
    </w:p>
    <w:p>
      <w:pPr>
        <w:pStyle w:val="Heading1"/>
      </w:pPr>
      <w:r>
        <w:rPr>
          <w:rFonts w:ascii="Calibri" w:hAnsi="Calibri"/>
          <w:color w:val="2F4E65"/>
          <w:sz w:val="30"/>
        </w:rPr>
        <w:t>DOCUMENTATION &amp; RECORDKEEPING</w:t>
      </w:r>
    </w:p>
    <w:p>
      <w:pPr>
        <w:pStyle w:val="ListBullet"/>
      </w:pPr>
      <w:r>
        <w:rPr>
          <w:rFonts w:ascii="Calibri" w:hAnsi="Calibri"/>
          <w:color w:val="2F4E65"/>
          <w:sz w:val="22"/>
        </w:rPr>
        <w:t>Notice + proof of service per account: Rent Manager History &amp; Notes + community Legal Notices folder.</w:t>
      </w:r>
    </w:p>
    <w:p>
      <w:pPr>
        <w:pStyle w:val="ListBullet"/>
      </w:pPr>
      <w:r>
        <w:rPr>
          <w:rFonts w:ascii="Calibri" w:hAnsi="Calibri"/>
          <w:color w:val="2F4E65"/>
          <w:sz w:val="22"/>
        </w:rPr>
        <w:t>Annual lease-form audit memo: Legal / Compliance folder. Retention: 7 years.</w:t>
      </w:r>
    </w:p>
    <w:p/>
    <w:p>
      <w:r>
        <w:rPr>
          <w:rFonts w:ascii="Calibri" w:hAnsi="Calibri"/>
          <w:color w:val="8FA3B2"/>
          <w:sz w:val="18"/>
        </w:rPr>
        <w:t>Draft prepared from the current Official Code of Georgia Annotated (Title 44, Chapter 7), including the 2024 amendments effective for leases entered into or renewed on or after July 1, 2024, and existing Parakeet SOPs.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9CFC806-DC13-4838-B8C3-6E740B2F538A}"/>
</file>

<file path=customXml/itemProps3.xml><?xml version="1.0" encoding="utf-8"?>
<ds:datastoreItem xmlns:ds="http://schemas.openxmlformats.org/officeDocument/2006/customXml" ds:itemID="{B557B559-0266-49D2-A407-9E5757543AA1}"/>
</file>

<file path=customXml/itemProps4.xml><?xml version="1.0" encoding="utf-8"?>
<ds:datastoreItem xmlns:ds="http://schemas.openxmlformats.org/officeDocument/2006/customXml" ds:itemID="{D629C8FE-45A6-4400-8E32-1A51021B77C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