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822: Violations, Eviction &amp; Abandoned Home Process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27-47-530 (grounds, notices, abandoned home auction); 27-40-710 (POH 14-day / 5-day notices); 29-15-10</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enforce rules and run evictions at South Carolina communities on the correct statutory track, and to use South Carolina's abandoned-home auction path — a real advantage over Florida and Georgia — when an evicted resident leaves the home on the lot.</w:t>
      </w:r>
    </w:p>
    <w:p>
      <w:r>
        <w:rPr>
          <w:rFonts w:ascii="Calibri" w:hAnsi="Calibri"/>
          <w:b/>
          <w:color w:val="2F4E65"/>
          <w:sz w:val="20"/>
        </w:rPr>
        <w:t>SOUTH CAROLINA HAS TWO TRACKS, LIKE FLORIDA: lot tenancies (resident-owned home on a rented lot) run under the Manufactured Home Park Tenancy Act, SC Code Title 27, Chapter 47. Park-owned home rentals run under the Residential Landlord and Tenant Act, Chapter 40. Every notice starts with the classification question.</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South Carolina communities</w:t>
      </w:r>
    </w:p>
    <w:p>
      <w:pPr>
        <w:pStyle w:val="ListBullet"/>
      </w:pPr>
      <w:r>
        <w:rPr>
          <w:rFonts w:ascii="Calibri" w:hAnsi="Calibri"/>
          <w:color w:val="2F4E65"/>
          <w:sz w:val="22"/>
        </w:rPr>
        <w:t>Track A lot tenants (Ch. 27-47); Track B park-owned home renters (Ch. 27-40)</w:t>
      </w:r>
    </w:p>
    <w:p>
      <w:pPr>
        <w:pStyle w:val="ListBullet"/>
      </w:pPr>
      <w:r>
        <w:rPr>
          <w:rFonts w:ascii="Calibri" w:hAnsi="Calibri"/>
          <w:color w:val="2F4E65"/>
          <w:sz w:val="22"/>
        </w:rPr>
        <w:t>Nonpayment demand cadence stays with SOP 100; this SOP owns the SC legal steps</w:t>
      </w:r>
    </w:p>
    <w:p>
      <w:pPr>
        <w:pStyle w:val="Heading2"/>
      </w:pPr>
      <w:r>
        <w:rPr>
          <w:rFonts w:ascii="Calibri" w:hAnsi="Calibri"/>
          <w:color w:val="2F4E65"/>
          <w:sz w:val="24"/>
        </w:rPr>
        <w:t>Trigger</w:t>
      </w:r>
    </w:p>
    <w:p>
      <w:r>
        <w:rPr>
          <w:rFonts w:ascii="Calibri" w:hAnsi="Calibri"/>
          <w:b w:val="0"/>
          <w:color w:val="2F4E65"/>
          <w:sz w:val="22"/>
        </w:rPr>
        <w:t>A documented violation or a delinquency crossing the statutory line.</w:t>
      </w:r>
    </w:p>
    <w:p>
      <w:pPr>
        <w:pStyle w:val="Heading2"/>
      </w:pPr>
      <w:r>
        <w:rPr>
          <w:rFonts w:ascii="Calibri" w:hAnsi="Calibri"/>
          <w:color w:val="2F4E65"/>
          <w:sz w:val="24"/>
        </w:rPr>
        <w:t>Finish Line</w:t>
      </w:r>
    </w:p>
    <w:p>
      <w:r>
        <w:rPr>
          <w:rFonts w:ascii="Calibri" w:hAnsi="Calibri"/>
          <w:b w:val="0"/>
          <w:color w:val="2F4E65"/>
          <w:sz w:val="22"/>
        </w:rPr>
        <w:t>Cured and documented, or eviction completed — including disposition of any home left on the lot.</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Documents violations; serves notices; monitors cure windows</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Pre-service review; escalation approval</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Correct statutory notices; attorney intake; abandoned-home auction logistics with Legal</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Track classification; template owner; auction process under 29-15-10; attorney coordination</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 rental agreement breach</w:t>
            </w:r>
          </w:p>
        </w:tc>
        <w:tc>
          <w:tcPr>
            <w:tcW w:type="dxa" w:w="3888"/>
          </w:tcPr>
          <w:p>
            <w:r/>
            <w:r>
              <w:rPr>
                <w:rFonts w:ascii="Calibri" w:hAnsi="Calibri"/>
                <w:b w:val="0"/>
                <w:color w:val="2F4E65"/>
                <w:sz w:val="20"/>
              </w:rPr>
              <w:t>Written notice; eviction may proceed if breach not remedied within 14 DAYS of notice</w:t>
            </w:r>
          </w:p>
        </w:tc>
        <w:tc>
          <w:tcPr>
            <w:tcW w:type="dxa" w:w="2160"/>
          </w:tcPr>
          <w:p>
            <w:r/>
            <w:r>
              <w:rPr>
                <w:rFonts w:ascii="Calibri" w:hAnsi="Calibri"/>
                <w:b w:val="0"/>
                <w:color w:val="2F4E65"/>
                <w:sz w:val="20"/>
              </w:rPr>
              <w:t>SC Code 27-47-530</w:t>
            </w:r>
          </w:p>
        </w:tc>
      </w:tr>
      <w:tr>
        <w:tc>
          <w:tcPr>
            <w:tcW w:type="dxa" w:w="3888"/>
            <w:shd w:val="clear" w:fill="F5F7F8"/>
          </w:tcPr>
          <w:p>
            <w:r/>
            <w:r>
              <w:rPr>
                <w:rFonts w:ascii="Calibri" w:hAnsi="Calibri"/>
                <w:b w:val="0"/>
                <w:color w:val="2F4E65"/>
                <w:sz w:val="20"/>
              </w:rPr>
              <w:t>TRACK A — nonpayment</w:t>
            </w:r>
          </w:p>
        </w:tc>
        <w:tc>
          <w:tcPr>
            <w:tcW w:type="dxa" w:w="3888"/>
            <w:shd w:val="clear" w:fill="F5F7F8"/>
          </w:tcPr>
          <w:p>
            <w:r/>
            <w:r>
              <w:rPr>
                <w:rFonts w:ascii="Calibri" w:hAnsi="Calibri"/>
                <w:b w:val="0"/>
                <w:color w:val="2F4E65"/>
                <w:sz w:val="20"/>
              </w:rPr>
              <w:t>Eviction ground once rent is delinquent 5 DAYS past due (written notice; coordinate with SOP 100 demand cadence)</w:t>
            </w:r>
          </w:p>
        </w:tc>
        <w:tc>
          <w:tcPr>
            <w:tcW w:type="dxa" w:w="2160"/>
            <w:shd w:val="clear" w:fill="F5F7F8"/>
          </w:tcPr>
          <w:p>
            <w:r/>
            <w:r>
              <w:rPr>
                <w:rFonts w:ascii="Calibri" w:hAnsi="Calibri"/>
                <w:b w:val="0"/>
                <w:color w:val="2F4E65"/>
                <w:sz w:val="20"/>
              </w:rPr>
              <w:t>SC Code 27-47-530</w:t>
            </w:r>
          </w:p>
        </w:tc>
      </w:tr>
      <w:tr>
        <w:tc>
          <w:tcPr>
            <w:tcW w:type="dxa" w:w="3888"/>
          </w:tcPr>
          <w:p>
            <w:r/>
            <w:r>
              <w:rPr>
                <w:rFonts w:ascii="Calibri" w:hAnsi="Calibri"/>
                <w:b w:val="0"/>
                <w:color w:val="2F4E65"/>
                <w:sz w:val="20"/>
              </w:rPr>
              <w:t>TRACK A — other grounds</w:t>
            </w:r>
          </w:p>
        </w:tc>
        <w:tc>
          <w:tcPr>
            <w:tcW w:type="dxa" w:w="3888"/>
          </w:tcPr>
          <w:p>
            <w:r/>
            <w:r>
              <w:rPr>
                <w:rFonts w:ascii="Calibri" w:hAnsi="Calibri"/>
                <w:b w:val="0"/>
                <w:color w:val="2F4E65"/>
                <w:sz w:val="20"/>
              </w:rPr>
              <w:t>Code violations after notice; disruptive/dangerous conduct; false application statements; health &amp; safety violations</w:t>
            </w:r>
          </w:p>
        </w:tc>
        <w:tc>
          <w:tcPr>
            <w:tcW w:type="dxa" w:w="2160"/>
          </w:tcPr>
          <w:p>
            <w:r/>
            <w:r>
              <w:rPr>
                <w:rFonts w:ascii="Calibri" w:hAnsi="Calibri"/>
                <w:b w:val="0"/>
                <w:color w:val="2F4E65"/>
                <w:sz w:val="20"/>
              </w:rPr>
              <w:t>SC Code 27-47-530</w:t>
            </w:r>
          </w:p>
        </w:tc>
      </w:tr>
      <w:tr>
        <w:tc>
          <w:tcPr>
            <w:tcW w:type="dxa" w:w="3888"/>
            <w:shd w:val="clear" w:fill="F5F7F8"/>
          </w:tcPr>
          <w:p>
            <w:r/>
            <w:r>
              <w:rPr>
                <w:rFonts w:ascii="Calibri" w:hAnsi="Calibri"/>
                <w:b w:val="0"/>
                <w:color w:val="2F4E65"/>
                <w:sz w:val="20"/>
              </w:rPr>
              <w:t>TRACK A — writ timing</w:t>
            </w:r>
          </w:p>
        </w:tc>
        <w:tc>
          <w:tcPr>
            <w:tcW w:type="dxa" w:w="3888"/>
            <w:shd w:val="clear" w:fill="F5F7F8"/>
          </w:tcPr>
          <w:p>
            <w:r/>
            <w:r>
              <w:rPr>
                <w:rFonts w:ascii="Calibri" w:hAnsi="Calibri"/>
                <w:b w:val="0"/>
                <w:color w:val="2F4E65"/>
                <w:sz w:val="20"/>
              </w:rPr>
              <w:t>Writ of ejectment does not issue until 10 days after verdict (except health/safety evictions)</w:t>
            </w:r>
          </w:p>
        </w:tc>
        <w:tc>
          <w:tcPr>
            <w:tcW w:type="dxa" w:w="2160"/>
            <w:shd w:val="clear" w:fill="F5F7F8"/>
          </w:tcPr>
          <w:p>
            <w:r/>
            <w:r>
              <w:rPr>
                <w:rFonts w:ascii="Calibri" w:hAnsi="Calibri"/>
                <w:b w:val="0"/>
                <w:color w:val="2F4E65"/>
                <w:sz w:val="20"/>
              </w:rPr>
              <w:t>SC Code 27-47-530</w:t>
            </w:r>
          </w:p>
        </w:tc>
      </w:tr>
      <w:tr>
        <w:tc>
          <w:tcPr>
            <w:tcW w:type="dxa" w:w="3888"/>
          </w:tcPr>
          <w:p>
            <w:r/>
            <w:r>
              <w:rPr>
                <w:rFonts w:ascii="Calibri" w:hAnsi="Calibri"/>
                <w:b w:val="0"/>
                <w:color w:val="2F4E65"/>
                <w:sz w:val="20"/>
              </w:rPr>
              <w:t>TRACK A — abandoned home</w:t>
            </w:r>
          </w:p>
        </w:tc>
        <w:tc>
          <w:tcPr>
            <w:tcW w:type="dxa" w:w="3888"/>
          </w:tcPr>
          <w:p>
            <w:r/>
            <w:r>
              <w:rPr>
                <w:rFonts w:ascii="Calibri" w:hAnsi="Calibri"/>
                <w:b w:val="0"/>
                <w:color w:val="2F4E65"/>
                <w:sz w:val="20"/>
              </w:rPr>
              <w:t>Home left on lot 20 DAYS after eviction: park owner may run a commercially reasonable PUBLIC AUCTION per SC Code 29-15-10; resident may reclaim pre-sale by covering filing/advertising costs</w:t>
            </w:r>
          </w:p>
        </w:tc>
        <w:tc>
          <w:tcPr>
            <w:tcW w:type="dxa" w:w="2160"/>
          </w:tcPr>
          <w:p>
            <w:r/>
            <w:r>
              <w:rPr>
                <w:rFonts w:ascii="Calibri" w:hAnsi="Calibri"/>
                <w:b w:val="0"/>
                <w:color w:val="2F4E65"/>
                <w:sz w:val="20"/>
              </w:rPr>
              <w:t>SC Code 27-47-530(C)</w:t>
            </w:r>
          </w:p>
        </w:tc>
      </w:tr>
      <w:tr>
        <w:tc>
          <w:tcPr>
            <w:tcW w:type="dxa" w:w="3888"/>
            <w:shd w:val="clear" w:fill="F5F7F8"/>
          </w:tcPr>
          <w:p>
            <w:r/>
            <w:r>
              <w:rPr>
                <w:rFonts w:ascii="Calibri" w:hAnsi="Calibri"/>
                <w:b w:val="0"/>
                <w:color w:val="2F4E65"/>
                <w:sz w:val="20"/>
              </w:rPr>
              <w:t>TRACK B — lease violation</w:t>
            </w:r>
          </w:p>
        </w:tc>
        <w:tc>
          <w:tcPr>
            <w:tcW w:type="dxa" w:w="3888"/>
            <w:shd w:val="clear" w:fill="F5F7F8"/>
          </w:tcPr>
          <w:p>
            <w:r/>
            <w:r>
              <w:rPr>
                <w:rFonts w:ascii="Calibri" w:hAnsi="Calibri"/>
                <w:b w:val="0"/>
                <w:color w:val="2F4E65"/>
                <w:sz w:val="20"/>
              </w:rPr>
              <w:t>14-day written notice specifying the breach; agreement terminates on the stated date if not cured</w:t>
            </w:r>
          </w:p>
        </w:tc>
        <w:tc>
          <w:tcPr>
            <w:tcW w:type="dxa" w:w="2160"/>
            <w:shd w:val="clear" w:fill="F5F7F8"/>
          </w:tcPr>
          <w:p>
            <w:r/>
            <w:r>
              <w:rPr>
                <w:rFonts w:ascii="Calibri" w:hAnsi="Calibri"/>
                <w:b w:val="0"/>
                <w:color w:val="2F4E65"/>
                <w:sz w:val="20"/>
              </w:rPr>
              <w:t>SC Code 27-40-710</w:t>
            </w:r>
          </w:p>
        </w:tc>
      </w:tr>
      <w:tr>
        <w:tc>
          <w:tcPr>
            <w:tcW w:type="dxa" w:w="3888"/>
          </w:tcPr>
          <w:p>
            <w:r/>
            <w:r>
              <w:rPr>
                <w:rFonts w:ascii="Calibri" w:hAnsi="Calibri"/>
                <w:b w:val="0"/>
                <w:color w:val="2F4E65"/>
                <w:sz w:val="20"/>
              </w:rPr>
              <w:t>TRACK B — nonpayment</w:t>
            </w:r>
          </w:p>
        </w:tc>
        <w:tc>
          <w:tcPr>
            <w:tcW w:type="dxa" w:w="3888"/>
          </w:tcPr>
          <w:p>
            <w:r/>
            <w:r>
              <w:rPr>
                <w:rFonts w:ascii="Calibri" w:hAnsi="Calibri"/>
                <w:b w:val="0"/>
                <w:color w:val="2F4E65"/>
                <w:sz w:val="20"/>
              </w:rPr>
              <w:t>5 days past due + written notice; the conspicuous lease clause ("IF YOU DO NOT PAY YOUR RENT ON TIME...") satisfies the notice requirement if present in the lease</w:t>
            </w:r>
          </w:p>
        </w:tc>
        <w:tc>
          <w:tcPr>
            <w:tcW w:type="dxa" w:w="2160"/>
          </w:tcPr>
          <w:p>
            <w:r/>
            <w:r>
              <w:rPr>
                <w:rFonts w:ascii="Calibri" w:hAnsi="Calibri"/>
                <w:b w:val="0"/>
                <w:color w:val="2F4E65"/>
                <w:sz w:val="20"/>
              </w:rPr>
              <w:t>SC Code 27-40-710</w:t>
            </w:r>
          </w:p>
        </w:tc>
      </w:tr>
    </w:tbl>
    <w:p>
      <w:pPr>
        <w:pStyle w:val="Heading1"/>
      </w:pPr>
      <w:r>
        <w:rPr>
          <w:rFonts w:ascii="Calibri" w:hAnsi="Calibri"/>
          <w:color w:val="2F4E65"/>
          <w:sz w:val="30"/>
        </w:rPr>
        <w:t>FAIR HOUSING GUARDRAIL</w:t>
      </w:r>
    </w:p>
    <w:p>
      <w:r>
        <w:rPr>
          <w:rFonts w:ascii="Calibri" w:hAnsi="Calibri"/>
          <w:b w:val="0"/>
          <w:color w:val="2F4E65"/>
          <w:sz w:val="22"/>
        </w:rPr>
        <w:t>Uniform enforcement, identical to SOP 802/812: same violation, same notice, same timeline. Written Director of Operations approval for any exception.</w:t>
      </w:r>
    </w:p>
    <w:p>
      <w:pPr>
        <w:pStyle w:val="Heading1"/>
      </w:pPr>
      <w:r>
        <w:rPr>
          <w:rFonts w:ascii="Calibri" w:hAnsi="Calibri"/>
          <w:color w:val="2F4E65"/>
          <w:sz w:val="30"/>
        </w:rPr>
        <w:t>PROCEDURE</w:t>
      </w:r>
    </w:p>
    <w:p>
      <w:pPr>
        <w:pStyle w:val="Heading2"/>
      </w:pPr>
      <w:r>
        <w:rPr>
          <w:rFonts w:ascii="Calibri" w:hAnsi="Calibri"/>
          <w:color w:val="2F4E65"/>
          <w:sz w:val="24"/>
        </w:rPr>
        <w:t>Phase 1 — Document &amp; Classify</w:t>
      </w:r>
    </w:p>
    <w:p>
      <w:pPr>
        <w:pStyle w:val="ListNumber"/>
      </w:pPr>
      <w:r>
        <w:rPr>
          <w:rFonts w:ascii="Calibri" w:hAnsi="Calibri"/>
          <w:color w:val="2F4E65"/>
          <w:sz w:val="22"/>
        </w:rPr>
        <w:t>Community Manager — documents same day: photos, rule/lease citation, Rent Manager issue.</w:t>
      </w:r>
    </w:p>
    <w:p>
      <w:pPr>
        <w:pStyle w:val="ListNumber"/>
      </w:pPr>
      <w:r>
        <w:rPr>
          <w:rFonts w:ascii="Calibri" w:hAnsi="Calibri"/>
          <w:color w:val="2F4E65"/>
          <w:sz w:val="22"/>
        </w:rPr>
        <w:t>Confirm track: resident-owned home = Track A (27-47); park-owned home = Track B (27-40). Unclear title → Legal before any notice.</w:t>
      </w:r>
    </w:p>
    <w:p>
      <w:pPr>
        <w:pStyle w:val="Heading2"/>
      </w:pPr>
      <w:r>
        <w:rPr>
          <w:rFonts w:ascii="Calibri" w:hAnsi="Calibri"/>
          <w:color w:val="2F4E65"/>
          <w:sz w:val="24"/>
        </w:rPr>
        <w:t>Phase 2 — Notice &amp; Service</w:t>
      </w:r>
    </w:p>
    <w:p>
      <w:pPr>
        <w:pStyle w:val="ListNumber"/>
      </w:pPr>
      <w:r>
        <w:rPr>
          <w:rFonts w:ascii="Calibri" w:hAnsi="Calibri"/>
          <w:color w:val="2F4E65"/>
          <w:sz w:val="22"/>
        </w:rPr>
        <w:t>Operations Coordinator — generates the correct notice: Track A 14-day breach notice / nonpayment notice; Track B 14-day cure or 5-day rent notice (verify whether the lease carries the conspicuous statutory clause — if yes, it already serves as the rent notice).</w:t>
      </w:r>
    </w:p>
    <w:p>
      <w:pPr>
        <w:pStyle w:val="ListNumber"/>
      </w:pPr>
      <w:r>
        <w:rPr>
          <w:rFonts w:ascii="Calibri" w:hAnsi="Calibri"/>
          <w:color w:val="2F4E65"/>
          <w:sz w:val="22"/>
        </w:rPr>
        <w:t>Regional Manager — reviews; Community Manager serves per SOP 823 with same-day proof.</w:t>
      </w:r>
    </w:p>
    <w:p>
      <w:pPr>
        <w:pStyle w:val="Heading2"/>
      </w:pPr>
      <w:r>
        <w:rPr>
          <w:rFonts w:ascii="Calibri" w:hAnsi="Calibri"/>
          <w:color w:val="2F4E65"/>
          <w:sz w:val="24"/>
        </w:rPr>
        <w:t>Phase 3 — Cure or Escalate</w:t>
      </w:r>
    </w:p>
    <w:p>
      <w:pPr>
        <w:pStyle w:val="ListNumber"/>
      </w:pPr>
      <w:r>
        <w:rPr>
          <w:rFonts w:ascii="Calibri" w:hAnsi="Calibri"/>
          <w:color w:val="2F4E65"/>
          <w:sz w:val="22"/>
        </w:rPr>
        <w:t>Cured within the window: document, close, keep the trail.</w:t>
      </w:r>
    </w:p>
    <w:p>
      <w:pPr>
        <w:pStyle w:val="ListNumber"/>
      </w:pPr>
      <w:r>
        <w:rPr>
          <w:rFonts w:ascii="Calibri" w:hAnsi="Calibri"/>
          <w:color w:val="2F4E65"/>
          <w:sz w:val="22"/>
        </w:rPr>
        <w:t>Not cured: Evictions Team builds the attorney intake (magistrate court ejectment); Director of Operations + evictions@ copied.</w:t>
      </w:r>
    </w:p>
    <w:p>
      <w:pPr>
        <w:pStyle w:val="ListNumber"/>
      </w:pPr>
      <w:r>
        <w:rPr>
          <w:rFonts w:ascii="Calibri" w:hAnsi="Calibri"/>
          <w:color w:val="2F4E65"/>
          <w:sz w:val="22"/>
        </w:rPr>
        <w:t>Post-verdict: calendar the 10-day writ delay (Track A) before scheduling set-out logistics.</w:t>
      </w:r>
    </w:p>
    <w:p>
      <w:pPr>
        <w:pStyle w:val="Heading2"/>
      </w:pPr>
      <w:r>
        <w:rPr>
          <w:rFonts w:ascii="Calibri" w:hAnsi="Calibri"/>
          <w:color w:val="2F4E65"/>
          <w:sz w:val="24"/>
        </w:rPr>
        <w:t>Phase 4 — Abandoned Home Auction (Track A advantage)</w:t>
      </w:r>
    </w:p>
    <w:p>
      <w:pPr>
        <w:pStyle w:val="ListNumber"/>
      </w:pPr>
      <w:r>
        <w:rPr>
          <w:rFonts w:ascii="Calibri" w:hAnsi="Calibri"/>
          <w:color w:val="2F4E65"/>
          <w:sz w:val="22"/>
        </w:rPr>
        <w:t>Day 20 after eviction with the home still on the lot: Legal / Compliance initiates the public auction path under 29-15-10 — commercially reasonable sale, proper advertising, documented costs.</w:t>
      </w:r>
    </w:p>
    <w:p>
      <w:pPr>
        <w:pStyle w:val="ListNumber"/>
      </w:pPr>
      <w:r>
        <w:rPr>
          <w:rFonts w:ascii="Calibri" w:hAnsi="Calibri"/>
          <w:color w:val="2F4E65"/>
          <w:sz w:val="22"/>
        </w:rPr>
        <w:t>If the former resident seeks to reclaim pre-sale: collect filing and advertising costs before release.</w:t>
      </w:r>
    </w:p>
    <w:p>
      <w:pPr>
        <w:pStyle w:val="ListNumber"/>
      </w:pPr>
      <w:r>
        <w:rPr>
          <w:rFonts w:ascii="Calibri" w:hAnsi="Calibri"/>
          <w:color w:val="2F4E65"/>
          <w:sz w:val="22"/>
        </w:rPr>
        <w:t>Sale proceeds and any title work route through the Corporate Title Specialist; ties into the Post Eviction Title SOP.</w:t>
      </w:r>
    </w:p>
    <w:p>
      <w:pPr>
        <w:pStyle w:val="Heading1"/>
      </w:pPr>
      <w:r>
        <w:rPr>
          <w:rFonts w:ascii="Calibri" w:hAnsi="Calibri"/>
          <w:color w:val="2F4E65"/>
          <w:sz w:val="30"/>
        </w:rPr>
        <w:t>DOCUMENTATION &amp; RECORDKEEPING</w:t>
      </w:r>
    </w:p>
    <w:p>
      <w:pPr>
        <w:pStyle w:val="ListBullet"/>
      </w:pPr>
      <w:r>
        <w:rPr>
          <w:rFonts w:ascii="Calibri" w:hAnsi="Calibri"/>
          <w:color w:val="2F4E65"/>
          <w:sz w:val="22"/>
        </w:rPr>
        <w:t>Full notice trail + auction records per account. Retention: 7 years or life of litigation.</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A5141C6-8FE2-4A95-A857-CD912E4E8142}"/>
</file>

<file path=customXml/itemProps3.xml><?xml version="1.0" encoding="utf-8"?>
<ds:datastoreItem xmlns:ds="http://schemas.openxmlformats.org/officeDocument/2006/customXml" ds:itemID="{1CC994D4-C803-4997-889F-A0144F50FD09}"/>
</file>

<file path=customXml/itemProps4.xml><?xml version="1.0" encoding="utf-8"?>
<ds:datastoreItem xmlns:ds="http://schemas.openxmlformats.org/officeDocument/2006/customXml" ds:itemID="{08E38CCD-C23C-4BD5-9F65-E4B77AFAB99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