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641323" cy="502920"/>
            <wp:docPr id="1" name="Picture 1"/>
            <wp:cNvGraphicFramePr>
              <a:graphicFrameLocks noChangeAspect="1"/>
            </wp:cNvGraphicFramePr>
            <a:graphic>
              <a:graphicData uri="http://schemas.openxmlformats.org/drawingml/2006/picture">
                <pic:pic>
                  <pic:nvPicPr>
                    <pic:cNvPr id="0" name="logo_with_tagline.png"/>
                    <pic:cNvPicPr/>
                  </pic:nvPicPr>
                  <pic:blipFill>
                    <a:blip r:embed="rId9"/>
                    <a:stretch>
                      <a:fillRect/>
                    </a:stretch>
                  </pic:blipFill>
                  <pic:spPr>
                    <a:xfrm>
                      <a:off x="0" y="0"/>
                      <a:ext cx="1641323" cy="502920"/>
                    </a:xfrm>
                    <a:prstGeom prst="rect"/>
                  </pic:spPr>
                </pic:pic>
              </a:graphicData>
            </a:graphic>
          </wp:inline>
        </w:drawing>
      </w:r>
    </w:p>
    <w:p>
      <w:r>
        <w:rPr>
          <w:rFonts w:ascii="Calibri" w:hAnsi="Calibri"/>
          <w:b/>
          <w:color w:val="2F4E65"/>
          <w:sz w:val="44"/>
        </w:rPr>
        <w:t>Operational Procedure 824: Security Deposit Handling &amp; Refund (SC)</w:t>
      </w:r>
    </w:p>
    <w:p>
      <w:r>
        <w:rPr>
          <w:rFonts w:ascii="Calibri" w:hAnsi="Calibri"/>
          <w:b/>
          <w:color w:val="4ABA81"/>
          <w:sz w:val="26"/>
        </w:rPr>
        <w:t>Parakeet Communities  ·  South Carolina Compliance SOP</w:t>
      </w:r>
    </w:p>
    <w:tbl>
      <w:tblPr>
        <w:tblStyle w:val="TableGrid"/>
        <w:tblW w:type="auto" w:w="0"/>
        <w:tblLook w:firstColumn="1" w:firstRow="1" w:lastColumn="0" w:lastRow="0" w:noHBand="0" w:noVBand="1" w:val="04A0"/>
      </w:tblPr>
      <w:tblGrid>
        <w:gridCol w:w="4968"/>
        <w:gridCol w:w="4968"/>
      </w:tblGrid>
      <w:tr>
        <w:tc>
          <w:tcPr>
            <w:tcW w:type="dxa" w:w="2448"/>
            <w:shd w:val="clear" w:fill="2F4E65"/>
          </w:tcPr>
          <w:p>
            <w:r/>
            <w:r>
              <w:rPr>
                <w:rFonts w:ascii="Calibri" w:hAnsi="Calibri"/>
                <w:b/>
                <w:color w:val="FFFFFF"/>
                <w:sz w:val="20"/>
              </w:rPr>
              <w:t>Process Owner</w:t>
            </w:r>
          </w:p>
        </w:tc>
        <w:tc>
          <w:tcPr>
            <w:tcW w:type="dxa" w:w="7488"/>
          </w:tcPr>
          <w:p>
            <w:r/>
            <w:r>
              <w:rPr>
                <w:rFonts w:ascii="Calibri" w:hAnsi="Calibri"/>
                <w:b w:val="0"/>
                <w:color w:val="2F4E65"/>
                <w:sz w:val="20"/>
              </w:rPr>
              <w:t>Natalie Magurne, Director of Operations</w:t>
            </w:r>
          </w:p>
        </w:tc>
      </w:tr>
      <w:tr>
        <w:tc>
          <w:tcPr>
            <w:tcW w:type="dxa" w:w="2448"/>
            <w:shd w:val="clear" w:fill="2F4E65"/>
          </w:tcPr>
          <w:p>
            <w:r/>
            <w:r>
              <w:rPr>
                <w:rFonts w:ascii="Calibri" w:hAnsi="Calibri"/>
                <w:b/>
                <w:color w:val="FFFFFF"/>
                <w:sz w:val="20"/>
              </w:rPr>
              <w:t>Applies To</w:t>
            </w:r>
          </w:p>
        </w:tc>
        <w:tc>
          <w:tcPr>
            <w:tcW w:type="dxa" w:w="7488"/>
          </w:tcPr>
          <w:p>
            <w:r/>
            <w:r>
              <w:rPr>
                <w:rFonts w:ascii="Calibri" w:hAnsi="Calibri"/>
                <w:b w:val="0"/>
                <w:color w:val="2F4E65"/>
                <w:sz w:val="20"/>
              </w:rPr>
              <w:t>Community Managers, Regional Managers, Accounting / Finance — SOUTH CAROLINA communities</w:t>
            </w:r>
          </w:p>
        </w:tc>
      </w:tr>
      <w:tr>
        <w:tc>
          <w:tcPr>
            <w:tcW w:type="dxa" w:w="2448"/>
            <w:shd w:val="clear" w:fill="2F4E65"/>
          </w:tcPr>
          <w:p>
            <w:r/>
            <w:r>
              <w:rPr>
                <w:rFonts w:ascii="Calibri" w:hAnsi="Calibri"/>
                <w:b/>
                <w:color w:val="FFFFFF"/>
                <w:sz w:val="20"/>
              </w:rPr>
              <w:t>Jurisdiction</w:t>
            </w:r>
          </w:p>
        </w:tc>
        <w:tc>
          <w:tcPr>
            <w:tcW w:type="dxa" w:w="7488"/>
          </w:tcPr>
          <w:p>
            <w:r/>
            <w:r>
              <w:rPr>
                <w:rFonts w:ascii="Calibri" w:hAnsi="Calibri"/>
                <w:b w:val="0"/>
                <w:color w:val="2F4E65"/>
                <w:sz w:val="20"/>
              </w:rPr>
              <w:t>SOUTH CAROLINA communities only (Florida set: SOP 801-806; Georgia set: SOP 811-814)</w:t>
            </w:r>
          </w:p>
        </w:tc>
      </w:tr>
      <w:tr>
        <w:tc>
          <w:tcPr>
            <w:tcW w:type="dxa" w:w="2448"/>
            <w:shd w:val="clear" w:fill="2F4E65"/>
          </w:tcPr>
          <w:p>
            <w:r/>
            <w:r>
              <w:rPr>
                <w:rFonts w:ascii="Calibri" w:hAnsi="Calibri"/>
                <w:b/>
                <w:color w:val="FFFFFF"/>
                <w:sz w:val="20"/>
              </w:rPr>
              <w:t>Legal Basis</w:t>
            </w:r>
          </w:p>
        </w:tc>
        <w:tc>
          <w:tcPr>
            <w:tcW w:type="dxa" w:w="7488"/>
          </w:tcPr>
          <w:p>
            <w:r/>
            <w:r>
              <w:rPr>
                <w:rFonts w:ascii="Calibri" w:hAnsi="Calibri"/>
                <w:b w:val="0"/>
                <w:color w:val="2F4E65"/>
                <w:sz w:val="20"/>
              </w:rPr>
              <w:t>SC Code 27-47-520 (lot tenancies); 27-40-410 (POH rentals)</w:t>
            </w:r>
          </w:p>
        </w:tc>
      </w:tr>
      <w:tr>
        <w:tc>
          <w:tcPr>
            <w:tcW w:type="dxa" w:w="2448"/>
            <w:shd w:val="clear" w:fill="2F4E65"/>
          </w:tcPr>
          <w:p>
            <w:r/>
            <w:r>
              <w:rPr>
                <w:rFonts w:ascii="Calibri" w:hAnsi="Calibri"/>
                <w:b/>
                <w:color w:val="FFFFFF"/>
                <w:sz w:val="20"/>
              </w:rPr>
              <w:t>Primary System</w:t>
            </w:r>
          </w:p>
        </w:tc>
        <w:tc>
          <w:tcPr>
            <w:tcW w:type="dxa" w:w="7488"/>
          </w:tcPr>
          <w:p>
            <w:r/>
            <w:r>
              <w:rPr>
                <w:rFonts w:ascii="Calibri" w:hAnsi="Calibri"/>
                <w:b w:val="0"/>
                <w:color w:val="2F4E65"/>
                <w:sz w:val="20"/>
              </w:rPr>
              <w:t>Rent Manager</w:t>
            </w:r>
          </w:p>
        </w:tc>
      </w:tr>
      <w:tr>
        <w:tc>
          <w:tcPr>
            <w:tcW w:type="dxa" w:w="2448"/>
            <w:shd w:val="clear" w:fill="2F4E65"/>
          </w:tcPr>
          <w:p>
            <w:r/>
            <w:r>
              <w:rPr>
                <w:rFonts w:ascii="Calibri" w:hAnsi="Calibri"/>
                <w:b/>
                <w:color w:val="FFFFFF"/>
                <w:sz w:val="20"/>
              </w:rPr>
              <w:t>Status</w:t>
            </w:r>
          </w:p>
        </w:tc>
        <w:tc>
          <w:tcPr>
            <w:tcW w:type="dxa" w:w="7488"/>
          </w:tcPr>
          <w:p>
            <w:r/>
            <w:r>
              <w:rPr>
                <w:rFonts w:ascii="Calibri" w:hAnsi="Calibri"/>
                <w:b w:val="0"/>
                <w:color w:val="2F4E65"/>
                <w:sz w:val="20"/>
              </w:rPr>
              <w:t>DRAFT V1 — Pending Review</w:t>
            </w:r>
          </w:p>
        </w:tc>
      </w:tr>
      <w:tr>
        <w:tc>
          <w:tcPr>
            <w:tcW w:type="dxa" w:w="2448"/>
            <w:shd w:val="clear" w:fill="2F4E65"/>
          </w:tcPr>
          <w:p>
            <w:r/>
            <w:r>
              <w:rPr>
                <w:rFonts w:ascii="Calibri" w:hAnsi="Calibri"/>
                <w:b/>
                <w:color w:val="FFFFFF"/>
                <w:sz w:val="20"/>
              </w:rPr>
              <w:t>Effective Date</w:t>
            </w:r>
          </w:p>
        </w:tc>
        <w:tc>
          <w:tcPr>
            <w:tcW w:type="dxa" w:w="7488"/>
          </w:tcPr>
          <w:p>
            <w:r/>
            <w:r>
              <w:rPr>
                <w:rFonts w:ascii="Calibri" w:hAnsi="Calibri"/>
                <w:b w:val="0"/>
                <w:color w:val="2F4E65"/>
                <w:sz w:val="20"/>
              </w:rPr>
              <w:t>_________________ (upon approval)</w:t>
            </w:r>
          </w:p>
        </w:tc>
      </w:tr>
      <w:tr>
        <w:tc>
          <w:tcPr>
            <w:tcW w:type="dxa" w:w="2448"/>
            <w:shd w:val="clear" w:fill="2F4E65"/>
          </w:tcPr>
          <w:p>
            <w:r/>
            <w:r>
              <w:rPr>
                <w:rFonts w:ascii="Calibri" w:hAnsi="Calibri"/>
                <w:b/>
                <w:color w:val="FFFFFF"/>
                <w:sz w:val="20"/>
              </w:rPr>
              <w:t>Last Revised</w:t>
            </w:r>
          </w:p>
        </w:tc>
        <w:tc>
          <w:tcPr>
            <w:tcW w:type="dxa" w:w="7488"/>
          </w:tcPr>
          <w:p>
            <w:r/>
            <w:r>
              <w:rPr>
                <w:rFonts w:ascii="Calibri" w:hAnsi="Calibri"/>
                <w:b w:val="0"/>
                <w:color w:val="2F4E65"/>
                <w:sz w:val="20"/>
              </w:rPr>
              <w:t>August 6, 2026 — drafted from the current SC Code Title 27, Chapters 47 and 40</w:t>
            </w:r>
          </w:p>
        </w:tc>
      </w:tr>
    </w:tbl>
    <w:p/>
    <w:p>
      <w:r>
        <w:rPr>
          <w:rFonts w:ascii="Calibri" w:hAnsi="Calibri"/>
          <w:b/>
          <w:color w:val="F16262"/>
          <w:sz w:val="18"/>
        </w:rPr>
        <w:t>LEGAL REVIEW REQUIRED: This SOP restates timelines from the SC Manufactured Home Park Tenancy Act (Title 27, Ch. 47) and the SC Residential Landlord and Tenant Act (Title 27, Ch. 40). South Carolina counsel must review and approve before rollout. Where a rental agreement is more specific than statute, the agreement controls.</w:t>
      </w:r>
    </w:p>
    <w:p>
      <w:pPr>
        <w:pStyle w:val="Heading1"/>
      </w:pPr>
      <w:r>
        <w:rPr>
          <w:rFonts w:ascii="Calibri" w:hAnsi="Calibri"/>
          <w:color w:val="2F4E65"/>
          <w:sz w:val="30"/>
        </w:rPr>
        <w:t>PURPOSE</w:t>
      </w:r>
    </w:p>
    <w:p>
      <w:r>
        <w:rPr>
          <w:rFonts w:ascii="Calibri" w:hAnsi="Calibri"/>
          <w:b w:val="0"/>
          <w:color w:val="2F4E65"/>
          <w:sz w:val="22"/>
        </w:rPr>
        <w:t>To return South Carolina deposits inside the 30-day windows. Both SC tracks carry the same hammer: wrongful withholding costs three times the amount withheld plus the resident's attorney fees.</w:t>
      </w:r>
    </w:p>
    <w:p>
      <w:pPr>
        <w:pStyle w:val="Heading1"/>
      </w:pPr>
      <w:r>
        <w:rPr>
          <w:rFonts w:ascii="Calibri" w:hAnsi="Calibri"/>
          <w:color w:val="2F4E65"/>
          <w:sz w:val="30"/>
        </w:rPr>
        <w:t>SCOPE</w:t>
      </w:r>
    </w:p>
    <w:p>
      <w:pPr>
        <w:pStyle w:val="Heading2"/>
      </w:pPr>
      <w:r>
        <w:rPr>
          <w:rFonts w:ascii="Calibri" w:hAnsi="Calibri"/>
          <w:color w:val="2F4E65"/>
          <w:sz w:val="24"/>
        </w:rPr>
        <w:t>Applies To</w:t>
      </w:r>
    </w:p>
    <w:p>
      <w:pPr>
        <w:pStyle w:val="ListBullet"/>
      </w:pPr>
      <w:r>
        <w:rPr>
          <w:rFonts w:ascii="Calibri" w:hAnsi="Calibri"/>
          <w:color w:val="2F4E65"/>
          <w:sz w:val="22"/>
        </w:rPr>
        <w:t>Track A lot tenancy deposits — SC 27-47-520</w:t>
      </w:r>
    </w:p>
    <w:p>
      <w:pPr>
        <w:pStyle w:val="ListBullet"/>
      </w:pPr>
      <w:r>
        <w:rPr>
          <w:rFonts w:ascii="Calibri" w:hAnsi="Calibri"/>
          <w:color w:val="2F4E65"/>
          <w:sz w:val="22"/>
        </w:rPr>
        <w:t>Track B park-owned home rental deposits — SC 27-40-410</w:t>
      </w:r>
    </w:p>
    <w:p>
      <w:pPr>
        <w:pStyle w:val="Heading2"/>
      </w:pPr>
      <w:r>
        <w:rPr>
          <w:rFonts w:ascii="Calibri" w:hAnsi="Calibri"/>
          <w:color w:val="2F4E65"/>
          <w:sz w:val="24"/>
        </w:rPr>
        <w:t>Trigger</w:t>
      </w:r>
    </w:p>
    <w:p>
      <w:r>
        <w:rPr>
          <w:rFonts w:ascii="Calibri" w:hAnsi="Calibri"/>
          <w:b w:val="0"/>
          <w:color w:val="2F4E65"/>
          <w:sz w:val="22"/>
        </w:rPr>
        <w:t>A deposit is received or an SC tenancy terminates.</w:t>
      </w:r>
    </w:p>
    <w:p>
      <w:pPr>
        <w:pStyle w:val="Heading2"/>
      </w:pPr>
      <w:r>
        <w:rPr>
          <w:rFonts w:ascii="Calibri" w:hAnsi="Calibri"/>
          <w:color w:val="2F4E65"/>
          <w:sz w:val="24"/>
        </w:rPr>
        <w:t>Finish Line</w:t>
      </w:r>
    </w:p>
    <w:p>
      <w:r>
        <w:rPr>
          <w:rFonts w:ascii="Calibri" w:hAnsi="Calibri"/>
          <w:b w:val="0"/>
          <w:color w:val="2F4E65"/>
          <w:sz w:val="22"/>
        </w:rPr>
        <w:t>Deposit refunded or lawfully retained with itemized written notice inside 30 days, documented in Rent Manager.</w:t>
      </w:r>
    </w:p>
    <w:p>
      <w:pPr>
        <w:pStyle w:val="Heading1"/>
      </w:pPr>
      <w:r>
        <w:rPr>
          <w:rFonts w:ascii="Calibri" w:hAnsi="Calibri"/>
          <w:color w:val="2F4E65"/>
          <w:sz w:val="30"/>
        </w:rPr>
        <w:t>ROLES &amp; RESPONSIBILITIES</w:t>
      </w:r>
    </w:p>
    <w:tbl>
      <w:tblPr>
        <w:tblStyle w:val="TableGrid"/>
        <w:tblW w:type="auto" w:w="0"/>
        <w:tblLook w:firstColumn="1" w:firstRow="1" w:lastColumn="0" w:lastRow="0" w:noHBand="0" w:noVBand="1" w:val="04A0"/>
      </w:tblPr>
      <w:tblGrid>
        <w:gridCol w:w="4968"/>
        <w:gridCol w:w="4968"/>
      </w:tblGrid>
      <w:tr>
        <w:tc>
          <w:tcPr>
            <w:tcW w:type="dxa" w:w="3168"/>
            <w:shd w:val="clear" w:fill="2F4E65"/>
          </w:tcPr>
          <w:p>
            <w:r/>
            <w:r>
              <w:rPr>
                <w:rFonts w:ascii="Calibri" w:hAnsi="Calibri"/>
                <w:b/>
                <w:color w:val="FFFFFF"/>
                <w:sz w:val="20"/>
              </w:rPr>
              <w:t>Role</w:t>
            </w:r>
          </w:p>
        </w:tc>
        <w:tc>
          <w:tcPr>
            <w:tcW w:type="dxa" w:w="6768"/>
            <w:shd w:val="clear" w:fill="2F4E65"/>
          </w:tcPr>
          <w:p>
            <w:r/>
            <w:r>
              <w:rPr>
                <w:rFonts w:ascii="Calibri" w:hAnsi="Calibri"/>
                <w:b/>
                <w:color w:val="FFFFFF"/>
                <w:sz w:val="20"/>
              </w:rPr>
              <w:t>Responsibility</w:t>
            </w:r>
          </w:p>
        </w:tc>
      </w:tr>
      <w:tr>
        <w:tc>
          <w:tcPr>
            <w:tcW w:type="dxa" w:w="3168"/>
          </w:tcPr>
          <w:p>
            <w:r/>
            <w:r>
              <w:rPr>
                <w:rFonts w:ascii="Calibri" w:hAnsi="Calibri"/>
                <w:b w:val="0"/>
                <w:color w:val="2F4E65"/>
                <w:sz w:val="20"/>
              </w:rPr>
              <w:t>Accounting / Finance</w:t>
            </w:r>
          </w:p>
        </w:tc>
        <w:tc>
          <w:tcPr>
            <w:tcW w:type="dxa" w:w="6768"/>
          </w:tcPr>
          <w:p>
            <w:r/>
            <w:r>
              <w:rPr>
                <w:rFonts w:ascii="Calibri" w:hAnsi="Calibri"/>
                <w:b w:val="0"/>
                <w:color w:val="2F4E65"/>
                <w:sz w:val="20"/>
              </w:rPr>
              <w:t>Holds SC deposits in the designated deposit account; issues refunds</w:t>
            </w:r>
          </w:p>
        </w:tc>
      </w:tr>
      <w:tr>
        <w:tc>
          <w:tcPr>
            <w:tcW w:type="dxa" w:w="3168"/>
            <w:shd w:val="clear" w:fill="F5F7F8"/>
          </w:tcPr>
          <w:p>
            <w:r/>
            <w:r>
              <w:rPr>
                <w:rFonts w:ascii="Calibri" w:hAnsi="Calibri"/>
                <w:b w:val="0"/>
                <w:color w:val="2F4E65"/>
                <w:sz w:val="20"/>
              </w:rPr>
              <w:t>Community Manager</w:t>
            </w:r>
          </w:p>
        </w:tc>
        <w:tc>
          <w:tcPr>
            <w:tcW w:type="dxa" w:w="6768"/>
            <w:shd w:val="clear" w:fill="F5F7F8"/>
          </w:tcPr>
          <w:p>
            <w:r/>
            <w:r>
              <w:rPr>
                <w:rFonts w:ascii="Calibri" w:hAnsi="Calibri"/>
                <w:b w:val="0"/>
                <w:color w:val="2F4E65"/>
                <w:sz w:val="20"/>
              </w:rPr>
              <w:t>Move-out inspection with photos; damage pricing; timeline execution</w:t>
            </w:r>
          </w:p>
        </w:tc>
      </w:tr>
      <w:tr>
        <w:tc>
          <w:tcPr>
            <w:tcW w:type="dxa" w:w="3168"/>
          </w:tcPr>
          <w:p>
            <w:r/>
            <w:r>
              <w:rPr>
                <w:rFonts w:ascii="Calibri" w:hAnsi="Calibri"/>
                <w:b w:val="0"/>
                <w:color w:val="2F4E65"/>
                <w:sz w:val="20"/>
              </w:rPr>
              <w:t>Regional Manager</w:t>
            </w:r>
          </w:p>
        </w:tc>
        <w:tc>
          <w:tcPr>
            <w:tcW w:type="dxa" w:w="6768"/>
          </w:tcPr>
          <w:p>
            <w:r/>
            <w:r>
              <w:rPr>
                <w:rFonts w:ascii="Calibri" w:hAnsi="Calibri"/>
                <w:b w:val="0"/>
                <w:color w:val="2F4E65"/>
                <w:sz w:val="20"/>
              </w:rPr>
              <w:t>Approves every retention; weekly clock audit</w:t>
            </w:r>
          </w:p>
        </w:tc>
      </w:tr>
      <w:tr>
        <w:tc>
          <w:tcPr>
            <w:tcW w:type="dxa" w:w="3168"/>
            <w:shd w:val="clear" w:fill="F5F7F8"/>
          </w:tcPr>
          <w:p>
            <w:r/>
            <w:r>
              <w:rPr>
                <w:rFonts w:ascii="Calibri" w:hAnsi="Calibri"/>
                <w:b w:val="0"/>
                <w:color w:val="2F4E65"/>
                <w:sz w:val="20"/>
              </w:rPr>
              <w:t>Operations Coordinator</w:t>
            </w:r>
          </w:p>
        </w:tc>
        <w:tc>
          <w:tcPr>
            <w:tcW w:type="dxa" w:w="6768"/>
            <w:shd w:val="clear" w:fill="F5F7F8"/>
          </w:tcPr>
          <w:p>
            <w:r/>
            <w:r>
              <w:rPr>
                <w:rFonts w:ascii="Calibri" w:hAnsi="Calibri"/>
                <w:b w:val="0"/>
                <w:color w:val="2F4E65"/>
                <w:sz w:val="20"/>
              </w:rPr>
              <w:t>Itemization notice template and calendar</w:t>
            </w:r>
          </w:p>
        </w:tc>
      </w:tr>
    </w:tbl>
    <w:p>
      <w:pPr>
        <w:pStyle w:val="Heading1"/>
      </w:pPr>
      <w:r>
        <w:rPr>
          <w:rFonts w:ascii="Calibri" w:hAnsi="Calibri"/>
          <w:color w:val="2F4E65"/>
          <w:sz w:val="30"/>
        </w:rPr>
        <w:t>SOUTH CAROLINA COMPLIANCE REQUIREMENTS — HARD DEADLINES</w:t>
      </w:r>
    </w:p>
    <w:p>
      <w:r>
        <w:rPr>
          <w:rFonts w:ascii="Calibri" w:hAnsi="Calibri"/>
          <w:b w:val="0"/>
          <w:color w:val="2F4E65"/>
          <w:sz w:val="20"/>
        </w:rPr>
        <w:t>These timelines are statutory. Missing one voids the action or exposes the company to penalties and fee awards. When counting days, follow the statute exactly; when in doubt, add days, never subtract.</w:t>
      </w:r>
    </w:p>
    <w:tbl>
      <w:tblPr>
        <w:tblStyle w:val="TableGrid"/>
        <w:tblW w:type="auto" w:w="0"/>
        <w:tblLook w:firstColumn="1" w:firstRow="1" w:lastColumn="0" w:lastRow="0" w:noHBand="0" w:noVBand="1" w:val="04A0"/>
      </w:tblPr>
      <w:tblGrid>
        <w:gridCol w:w="3312"/>
        <w:gridCol w:w="3312"/>
        <w:gridCol w:w="3312"/>
      </w:tblGrid>
      <w:tr>
        <w:tc>
          <w:tcPr>
            <w:tcW w:type="dxa" w:w="3888"/>
            <w:shd w:val="clear" w:fill="2F4E65"/>
          </w:tcPr>
          <w:p>
            <w:r/>
            <w:r>
              <w:rPr>
                <w:rFonts w:ascii="Calibri" w:hAnsi="Calibri"/>
                <w:b/>
                <w:color w:val="FFFFFF"/>
                <w:sz w:val="20"/>
              </w:rPr>
              <w:t>Requirement</w:t>
            </w:r>
          </w:p>
        </w:tc>
        <w:tc>
          <w:tcPr>
            <w:tcW w:type="dxa" w:w="3888"/>
            <w:shd w:val="clear" w:fill="2F4E65"/>
          </w:tcPr>
          <w:p>
            <w:r/>
            <w:r>
              <w:rPr>
                <w:rFonts w:ascii="Calibri" w:hAnsi="Calibri"/>
                <w:b/>
                <w:color w:val="FFFFFF"/>
                <w:sz w:val="20"/>
              </w:rPr>
              <w:t>Deadline / Standard</w:t>
            </w:r>
          </w:p>
        </w:tc>
        <w:tc>
          <w:tcPr>
            <w:tcW w:type="dxa" w:w="2160"/>
            <w:shd w:val="clear" w:fill="2F4E65"/>
          </w:tcPr>
          <w:p>
            <w:r/>
            <w:r>
              <w:rPr>
                <w:rFonts w:ascii="Calibri" w:hAnsi="Calibri"/>
                <w:b/>
                <w:color w:val="FFFFFF"/>
                <w:sz w:val="20"/>
              </w:rPr>
              <w:t>Citation</w:t>
            </w:r>
          </w:p>
        </w:tc>
      </w:tr>
      <w:tr>
        <w:tc>
          <w:tcPr>
            <w:tcW w:type="dxa" w:w="3888"/>
          </w:tcPr>
          <w:p>
            <w:r/>
            <w:r>
              <w:rPr>
                <w:rFonts w:ascii="Calibri" w:hAnsi="Calibri"/>
                <w:b w:val="0"/>
                <w:color w:val="2F4E65"/>
                <w:sz w:val="20"/>
              </w:rPr>
              <w:t>TRACK A refund/itemization</w:t>
            </w:r>
          </w:p>
        </w:tc>
        <w:tc>
          <w:tcPr>
            <w:tcW w:type="dxa" w:w="3888"/>
          </w:tcPr>
          <w:p>
            <w:r/>
            <w:r>
              <w:rPr>
                <w:rFonts w:ascii="Calibri" w:hAnsi="Calibri"/>
                <w:b w:val="0"/>
                <w:color w:val="2F4E65"/>
                <w:sz w:val="20"/>
              </w:rPr>
              <w:t>Return within 30 DAYS after termination, less itemized documented deductions for unpaid rent or damages (written itemization)</w:t>
            </w:r>
          </w:p>
        </w:tc>
        <w:tc>
          <w:tcPr>
            <w:tcW w:type="dxa" w:w="2160"/>
          </w:tcPr>
          <w:p>
            <w:r/>
            <w:r>
              <w:rPr>
                <w:rFonts w:ascii="Calibri" w:hAnsi="Calibri"/>
                <w:b w:val="0"/>
                <w:color w:val="2F4E65"/>
                <w:sz w:val="20"/>
              </w:rPr>
              <w:t>SC 27-47-520</w:t>
            </w:r>
          </w:p>
        </w:tc>
      </w:tr>
      <w:tr>
        <w:tc>
          <w:tcPr>
            <w:tcW w:type="dxa" w:w="3888"/>
            <w:shd w:val="clear" w:fill="F5F7F8"/>
          </w:tcPr>
          <w:p>
            <w:r/>
            <w:r>
              <w:rPr>
                <w:rFonts w:ascii="Calibri" w:hAnsi="Calibri"/>
                <w:b w:val="0"/>
                <w:color w:val="2F4E65"/>
                <w:sz w:val="20"/>
              </w:rPr>
              <w:t>TRACK B refund/itemization</w:t>
            </w:r>
          </w:p>
        </w:tc>
        <w:tc>
          <w:tcPr>
            <w:tcW w:type="dxa" w:w="3888"/>
            <w:shd w:val="clear" w:fill="F5F7F8"/>
          </w:tcPr>
          <w:p>
            <w:r/>
            <w:r>
              <w:rPr>
                <w:rFonts w:ascii="Calibri" w:hAnsi="Calibri"/>
                <w:b w:val="0"/>
                <w:color w:val="2F4E65"/>
                <w:sz w:val="20"/>
              </w:rPr>
              <w:t>Itemized written notice of any deduction + amount due within 30 DAYS after (a) termination and delivery of possession, or (b) tenant demand — whichever is LATER</w:t>
            </w:r>
          </w:p>
        </w:tc>
        <w:tc>
          <w:tcPr>
            <w:tcW w:type="dxa" w:w="2160"/>
            <w:shd w:val="clear" w:fill="F5F7F8"/>
          </w:tcPr>
          <w:p>
            <w:r/>
            <w:r>
              <w:rPr>
                <w:rFonts w:ascii="Calibri" w:hAnsi="Calibri"/>
                <w:b w:val="0"/>
                <w:color w:val="2F4E65"/>
                <w:sz w:val="20"/>
              </w:rPr>
              <w:t>SC 27-40-410</w:t>
            </w:r>
          </w:p>
        </w:tc>
      </w:tr>
      <w:tr>
        <w:tc>
          <w:tcPr>
            <w:tcW w:type="dxa" w:w="3888"/>
          </w:tcPr>
          <w:p>
            <w:r/>
            <w:r>
              <w:rPr>
                <w:rFonts w:ascii="Calibri" w:hAnsi="Calibri"/>
                <w:b w:val="0"/>
                <w:color w:val="2F4E65"/>
                <w:sz w:val="20"/>
              </w:rPr>
              <w:t>Penalty — both tracks</w:t>
            </w:r>
          </w:p>
        </w:tc>
        <w:tc>
          <w:tcPr>
            <w:tcW w:type="dxa" w:w="3888"/>
          </w:tcPr>
          <w:p>
            <w:r/>
            <w:r>
              <w:rPr>
                <w:rFonts w:ascii="Calibri" w:hAnsi="Calibri"/>
                <w:b w:val="0"/>
                <w:color w:val="2F4E65"/>
                <w:sz w:val="20"/>
              </w:rPr>
              <w:t>Wrongful withholding: 3x the amount wrongfully withheld + reasonable attorney fees</w:t>
            </w:r>
          </w:p>
        </w:tc>
        <w:tc>
          <w:tcPr>
            <w:tcW w:type="dxa" w:w="2160"/>
          </w:tcPr>
          <w:p>
            <w:r/>
            <w:r>
              <w:rPr>
                <w:rFonts w:ascii="Calibri" w:hAnsi="Calibri"/>
                <w:b w:val="0"/>
                <w:color w:val="2F4E65"/>
                <w:sz w:val="20"/>
              </w:rPr>
              <w:t>SC 27-47-520; 27-40-410</w:t>
            </w:r>
          </w:p>
        </w:tc>
      </w:tr>
      <w:tr>
        <w:tc>
          <w:tcPr>
            <w:tcW w:type="dxa" w:w="3888"/>
            <w:shd w:val="clear" w:fill="F5F7F8"/>
          </w:tcPr>
          <w:p>
            <w:r/>
            <w:r>
              <w:rPr>
                <w:rFonts w:ascii="Calibri" w:hAnsi="Calibri"/>
                <w:b w:val="0"/>
                <w:color w:val="2F4E65"/>
                <w:sz w:val="20"/>
              </w:rPr>
              <w:t>Normal wear and tear</w:t>
            </w:r>
          </w:p>
        </w:tc>
        <w:tc>
          <w:tcPr>
            <w:tcW w:type="dxa" w:w="3888"/>
            <w:shd w:val="clear" w:fill="F5F7F8"/>
          </w:tcPr>
          <w:p>
            <w:r/>
            <w:r>
              <w:rPr>
                <w:rFonts w:ascii="Calibri" w:hAnsi="Calibri"/>
                <w:b w:val="0"/>
                <w:color w:val="2F4E65"/>
                <w:sz w:val="20"/>
              </w:rPr>
              <w:t>Not deductible — document actual damage with photos against move-in condition</w:t>
            </w:r>
          </w:p>
        </w:tc>
        <w:tc>
          <w:tcPr>
            <w:tcW w:type="dxa" w:w="2160"/>
            <w:shd w:val="clear" w:fill="F5F7F8"/>
          </w:tcPr>
          <w:p>
            <w:r/>
            <w:r>
              <w:rPr>
                <w:rFonts w:ascii="Calibri" w:hAnsi="Calibri"/>
                <w:b w:val="0"/>
                <w:color w:val="2F4E65"/>
                <w:sz w:val="20"/>
              </w:rPr>
              <w:t>Both</w:t>
            </w:r>
          </w:p>
        </w:tc>
      </w:tr>
    </w:tbl>
    <w:p>
      <w:pPr>
        <w:pStyle w:val="Heading1"/>
      </w:pPr>
      <w:r>
        <w:rPr>
          <w:rFonts w:ascii="Calibri" w:hAnsi="Calibri"/>
          <w:color w:val="2F4E65"/>
          <w:sz w:val="30"/>
        </w:rPr>
        <w:t>PROCEDURE</w:t>
      </w:r>
    </w:p>
    <w:p>
      <w:pPr>
        <w:pStyle w:val="Heading2"/>
      </w:pPr>
      <w:r>
        <w:rPr>
          <w:rFonts w:ascii="Calibri" w:hAnsi="Calibri"/>
          <w:color w:val="2F4E65"/>
          <w:sz w:val="24"/>
        </w:rPr>
        <w:t>Phase 1 — Receipt</w:t>
      </w:r>
    </w:p>
    <w:p>
      <w:pPr>
        <w:pStyle w:val="ListNumber"/>
      </w:pPr>
      <w:r>
        <w:rPr>
          <w:rFonts w:ascii="Calibri" w:hAnsi="Calibri"/>
          <w:color w:val="2F4E65"/>
          <w:sz w:val="22"/>
        </w:rPr>
        <w:t>Community Manager — records deposit in Rent Manager with a signed move-in condition report (photos).</w:t>
      </w:r>
    </w:p>
    <w:p>
      <w:pPr>
        <w:pStyle w:val="ListNumber"/>
      </w:pPr>
      <w:r>
        <w:rPr>
          <w:rFonts w:ascii="Calibri" w:hAnsi="Calibri"/>
          <w:color w:val="2F4E65"/>
          <w:sz w:val="22"/>
        </w:rPr>
        <w:t>Accounting / Finance — sweeps to the designated SC deposit account.</w:t>
      </w:r>
    </w:p>
    <w:p>
      <w:pPr>
        <w:pStyle w:val="Heading2"/>
      </w:pPr>
      <w:r>
        <w:rPr>
          <w:rFonts w:ascii="Calibri" w:hAnsi="Calibri"/>
          <w:color w:val="2F4E65"/>
          <w:sz w:val="24"/>
        </w:rPr>
        <w:t>Phase 2 — Move-Out  ·  Day 0 = termination/possession</w:t>
      </w:r>
    </w:p>
    <w:p>
      <w:pPr>
        <w:pStyle w:val="ListNumber"/>
      </w:pPr>
      <w:r>
        <w:rPr>
          <w:rFonts w:ascii="Calibri" w:hAnsi="Calibri"/>
          <w:color w:val="2F4E65"/>
          <w:sz w:val="22"/>
        </w:rPr>
        <w:t>Community Manager — inspection within 48 hours of possession: date-stamped photos vs move-in report.</w:t>
      </w:r>
    </w:p>
    <w:p>
      <w:pPr>
        <w:pStyle w:val="ListNumber"/>
      </w:pPr>
      <w:r>
        <w:rPr>
          <w:rFonts w:ascii="Calibri" w:hAnsi="Calibri"/>
          <w:color w:val="2F4E65"/>
          <w:sz w:val="22"/>
        </w:rPr>
        <w:t>Damage pricing + claim recommendation to Regional Manager by Day 7; Regional Manager decision by Day 10.</w:t>
      </w:r>
    </w:p>
    <w:p>
      <w:pPr>
        <w:pStyle w:val="Heading2"/>
      </w:pPr>
      <w:r>
        <w:rPr>
          <w:rFonts w:ascii="Calibri" w:hAnsi="Calibri"/>
          <w:color w:val="2F4E65"/>
          <w:sz w:val="24"/>
        </w:rPr>
        <w:t>Phase 3 — Refund or Itemize  ·  hard stop Day 30, internal Day 25</w:t>
      </w:r>
    </w:p>
    <w:p>
      <w:pPr>
        <w:pStyle w:val="ListNumber"/>
      </w:pPr>
      <w:r>
        <w:rPr>
          <w:rFonts w:ascii="Calibri" w:hAnsi="Calibri"/>
          <w:color w:val="2F4E65"/>
          <w:sz w:val="22"/>
        </w:rPr>
        <w:t>No deductions: full refund mailed by Day 25.</w:t>
      </w:r>
    </w:p>
    <w:p>
      <w:pPr>
        <w:pStyle w:val="ListNumber"/>
      </w:pPr>
      <w:r>
        <w:rPr>
          <w:rFonts w:ascii="Calibri" w:hAnsi="Calibri"/>
          <w:color w:val="2F4E65"/>
          <w:sz w:val="22"/>
        </w:rPr>
        <w:t>Deductions: itemized written notice (each deduction + amount) with the refund balance, mailed certified by Day 25.</w:t>
      </w:r>
    </w:p>
    <w:p>
      <w:pPr>
        <w:pStyle w:val="ListNumber"/>
      </w:pPr>
      <w:r>
        <w:rPr>
          <w:rFonts w:ascii="Calibri" w:hAnsi="Calibri"/>
          <w:color w:val="2F4E65"/>
          <w:sz w:val="22"/>
        </w:rPr>
        <w:t>Never deduct for normal wear and tear; if it would not survive a treble-damages hearing, do not deduct it.</w:t>
      </w:r>
    </w:p>
    <w:p>
      <w:pPr>
        <w:pStyle w:val="ListNumber"/>
      </w:pPr>
      <w:r>
        <w:rPr>
          <w:rFonts w:ascii="Calibri" w:hAnsi="Calibri"/>
          <w:color w:val="2F4E65"/>
          <w:sz w:val="22"/>
        </w:rPr>
        <w:t>Document in Rent Manager: itemization, photos, check number, mailing proof.</w:t>
      </w:r>
    </w:p>
    <w:p>
      <w:pPr>
        <w:pStyle w:val="Heading1"/>
      </w:pPr>
      <w:r>
        <w:rPr>
          <w:rFonts w:ascii="Calibri" w:hAnsi="Calibri"/>
          <w:color w:val="2F4E65"/>
          <w:sz w:val="30"/>
        </w:rPr>
        <w:t>DOCUMENTATION &amp; RECORDKEEPING</w:t>
      </w:r>
    </w:p>
    <w:p>
      <w:pPr>
        <w:pStyle w:val="ListBullet"/>
      </w:pPr>
      <w:r>
        <w:rPr>
          <w:rFonts w:ascii="Calibri" w:hAnsi="Calibri"/>
          <w:color w:val="2F4E65"/>
          <w:sz w:val="22"/>
        </w:rPr>
        <w:t>Per deposit: condition reports, photos, itemization, mail proof, ledger. Weekly Regional Manager clock audit. Retention: 7 years.</w:t>
      </w:r>
    </w:p>
    <w:p/>
    <w:p>
      <w:r>
        <w:rPr>
          <w:rFonts w:ascii="Calibri" w:hAnsi="Calibri"/>
          <w:color w:val="8FA3B2"/>
          <w:sz w:val="18"/>
        </w:rPr>
        <w:t>Draft prepared from the current SC Code of Laws: Title 27, Chapter 47 (Manufactured Home Park Tenancy Act) for lot tenancies and Title 27, Chapter 40 (Residential Landlord and Tenant Act) for park-owned home rentals (scstatehouse.gov), plus existing Parakeet SOPs.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8715ADD-5A62-45A4-BF9D-758AB8BD4455}"/>
</file>

<file path=customXml/itemProps3.xml><?xml version="1.0" encoding="utf-8"?>
<ds:datastoreItem xmlns:ds="http://schemas.openxmlformats.org/officeDocument/2006/customXml" ds:itemID="{B6441926-6906-4A50-A3C7-C5F6A5648EAF}"/>
</file>

<file path=customXml/itemProps4.xml><?xml version="1.0" encoding="utf-8"?>
<ds:datastoreItem xmlns:ds="http://schemas.openxmlformats.org/officeDocument/2006/customXml" ds:itemID="{E56BD688-976C-4538-B9B4-25B422EAF6C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MediaServiceImageTags">
    <vt:lpwstr/>
  </property>
</Properties>
</file>