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641323" cy="502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with_tag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1323" cy="502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/>
          <w:color w:val="2F4E65"/>
          <w:sz w:val="44"/>
        </w:rPr>
        <w:t>Operational Procedure 801: Lot Rental Increase &amp; Pass-Through Charges (FL)</w:t>
      </w:r>
    </w:p>
    <w:p>
      <w:r>
        <w:rPr>
          <w:rFonts w:ascii="Calibri" w:hAnsi="Calibri"/>
          <w:b/>
          <w:color w:val="4ABA81"/>
          <w:sz w:val="26"/>
        </w:rPr>
        <w:t>Parakeet Communities  ·  Florida Compliance SOP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Process Owner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Natalie Magurne, Director of Operations</w:t>
            </w:r>
          </w:p>
        </w:tc>
      </w:tr>
      <w:tr>
        <w:tc>
          <w:tcPr>
            <w:tcW w:type="dxa" w:w="244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Applies To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Asset Management / Finance, Legal / Compliance, Regional Managers, Community Managers</w:t>
            </w:r>
          </w:p>
        </w:tc>
      </w:tr>
      <w:tr>
        <w:tc>
          <w:tcPr>
            <w:tcW w:type="dxa" w:w="244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Jurisdiction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FLORIDA communities only (Georgia and South Carolina versions to follow)</w:t>
            </w:r>
          </w:p>
        </w:tc>
      </w:tr>
      <w:tr>
        <w:tc>
          <w:tcPr>
            <w:tcW w:type="dxa" w:w="244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Legal Basis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FS 723.031, 723.033, 723.037, 723.038; approved community prospectus (Section: Increases in Lot Rental Amount)</w:t>
            </w:r>
          </w:p>
        </w:tc>
      </w:tr>
      <w:tr>
        <w:tc>
          <w:tcPr>
            <w:tcW w:type="dxa" w:w="244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Primary System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Rent Manager</w:t>
            </w:r>
          </w:p>
        </w:tc>
      </w:tr>
      <w:tr>
        <w:tc>
          <w:tcPr>
            <w:tcW w:type="dxa" w:w="244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DRAFT V1 — Pending Review</w:t>
            </w:r>
          </w:p>
        </w:tc>
      </w:tr>
      <w:tr>
        <w:tc>
          <w:tcPr>
            <w:tcW w:type="dxa" w:w="244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Effective Date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_________________ (upon approval)</w:t>
            </w:r>
          </w:p>
        </w:tc>
      </w:tr>
      <w:tr>
        <w:tc>
          <w:tcPr>
            <w:tcW w:type="dxa" w:w="244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Last Revised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August 6, 2026 — drafted from 2025 Florida Statutes and community prospectuses</w:t>
            </w:r>
          </w:p>
        </w:tc>
      </w:tr>
    </w:tbl>
    <w:p/>
    <w:p>
      <w:r>
        <w:rPr>
          <w:rFonts w:ascii="Calibri" w:hAnsi="Calibri"/>
          <w:b/>
          <w:color w:val="F16262"/>
          <w:sz w:val="18"/>
        </w:rPr>
        <w:t>LEGAL REVIEW REQUIRED: This SOP restates statutory timelines from Chapters 723 and 83, Florida Statutes (2025), and Parakeet prospectuses. Florida counsel must review and approve before rollout. Where a community prospectus is more restrictive than statute, the prospectus controls.</w:t>
      </w:r>
    </w:p>
    <w:p>
      <w:pPr>
        <w:pStyle w:val="Heading1"/>
      </w:pPr>
      <w:r>
        <w:rPr>
          <w:rFonts w:ascii="Calibri" w:hAnsi="Calibri"/>
          <w:color w:val="2F4E65"/>
          <w:sz w:val="30"/>
        </w:rPr>
        <w:t>PURPOSE</w:t>
      </w:r>
    </w:p>
    <w:p>
      <w:r>
        <w:rPr>
          <w:rFonts w:ascii="Calibri" w:hAnsi="Calibri"/>
          <w:b w:val="0"/>
          <w:color w:val="2F4E65"/>
          <w:sz w:val="22"/>
        </w:rPr>
        <w:t>To raise lot rental amounts and pass through ad valorem taxes, non-ad valorem assessments, and utility cost increases at Florida communities in full compliance with Chapter 723, Florida Statutes, and each community's approved prospectus — so that no increase is ever voided, delayed, or challenged for a notice defect. In Florida, a defective increase notice does not just create legal risk; it extends the resident's existing rental term at the old rate until proper notice is given (FS 723.031(5)).</w:t>
      </w:r>
    </w:p>
    <w:p>
      <w:pPr>
        <w:pStyle w:val="Heading1"/>
      </w:pPr>
      <w:r>
        <w:rPr>
          <w:rFonts w:ascii="Calibri" w:hAnsi="Calibri"/>
          <w:color w:val="2F4E65"/>
          <w:sz w:val="30"/>
        </w:rPr>
        <w:t>SCOPE</w:t>
      </w:r>
    </w:p>
    <w:p>
      <w:pPr>
        <w:pStyle w:val="Heading2"/>
      </w:pPr>
      <w:r>
        <w:rPr>
          <w:rFonts w:ascii="Calibri" w:hAnsi="Calibri"/>
          <w:color w:val="2F4E65"/>
          <w:sz w:val="24"/>
        </w:rPr>
        <w:t>Applies To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All Florida manufactured housing communities with lot tenancies under Chapter 723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Asset Management / Finance — builds the annual increase schedule and pass-through calculations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Legal / Compliance — verifies prospectus authority, approves notices, files with the Division, manages mediation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Regional Managers — accuracy review, homeowners' committee meetings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Community Managers — notice service, proof of delivery, resident communication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EXCLUDED: RV parks (Chapter 513 tenancies), park-owned home rentals (Chapter 83 — rent changes follow the lease and Chapter 83), and Georgia / South Carolina communities</w:t>
      </w:r>
    </w:p>
    <w:p>
      <w:pPr>
        <w:pStyle w:val="Heading2"/>
      </w:pPr>
      <w:r>
        <w:rPr>
          <w:rFonts w:ascii="Calibri" w:hAnsi="Calibri"/>
          <w:color w:val="2F4E65"/>
          <w:sz w:val="24"/>
        </w:rPr>
        <w:t>Trigger</w:t>
      </w:r>
    </w:p>
    <w:p>
      <w:r>
        <w:rPr>
          <w:rFonts w:ascii="Calibri" w:hAnsi="Calibri"/>
          <w:b w:val="0"/>
          <w:color w:val="2F4E65"/>
          <w:sz w:val="22"/>
        </w:rPr>
        <w:t>The annual budget approval sets the increase schedule for each community's anniversary date(s); OR a tax bill, assessment, or utility rate change creates a pass-through event.</w:t>
      </w:r>
    </w:p>
    <w:p>
      <w:pPr>
        <w:pStyle w:val="Heading2"/>
      </w:pPr>
      <w:r>
        <w:rPr>
          <w:rFonts w:ascii="Calibri" w:hAnsi="Calibri"/>
          <w:color w:val="2F4E65"/>
          <w:sz w:val="24"/>
        </w:rPr>
        <w:t>Finish Line</w:t>
      </w:r>
    </w:p>
    <w:p>
      <w:r>
        <w:rPr>
          <w:rFonts w:ascii="Calibri" w:hAnsi="Calibri"/>
          <w:b w:val="0"/>
          <w:color w:val="2F4E65"/>
          <w:sz w:val="22"/>
        </w:rPr>
        <w:t>This process is complete for a community when the increase is effective in Rent Manager, every affected homeowner received a compliant 90-day notice with documented proof, any committee meeting or mediation is closed out, and the notice copies are filed with the Division by January 1.</w:t>
      </w:r>
    </w:p>
    <w:p>
      <w:pPr>
        <w:pStyle w:val="Heading1"/>
      </w:pPr>
      <w:r>
        <w:rPr>
          <w:rFonts w:ascii="Calibri" w:hAnsi="Calibri"/>
          <w:color w:val="2F4E65"/>
          <w:sz w:val="30"/>
        </w:rPr>
        <w:t>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676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Asset Management / Finance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Builds the increase schedule from the approved budget; calculates pass-through amounts (proportionate share); confirms amounts never exceed what is remitted to the taxing authority or utility</w:t>
            </w:r>
          </w:p>
        </w:tc>
      </w:tr>
      <w:tr>
        <w:tc>
          <w:tcPr>
            <w:tcW w:type="dxa" w:w="316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Legal / Compliance</w:t>
            </w:r>
          </w:p>
        </w:tc>
        <w:tc>
          <w:tcPr>
            <w:tcW w:type="dxa" w:w="676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Verifies prospectus authority per community before any notice is drafted; approves final notice; attends committee meetings; handles mediation petitions; files annual notice copies with the Division of Florida Condominiums, Timeshares, and Mobile Homes (DBPR)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Operations Coordinator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Merges the approved schedule into the Florida 90-day notice template in Rent Manager; generates per-resident notices by lot</w:t>
            </w:r>
          </w:p>
        </w:tc>
      </w:tr>
      <w:tr>
        <w:tc>
          <w:tcPr>
            <w:tcW w:type="dxa" w:w="316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Regional Manager</w:t>
            </w:r>
          </w:p>
        </w:tc>
        <w:tc>
          <w:tcPr>
            <w:tcW w:type="dxa" w:w="676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Reviews every notice for accuracy against Rent Manager (name, lot, current amount, new amount, effective date); represents the park owner at homeowners' committee meetings with Legal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Community Manager</w:t>
            </w:r>
          </w:p>
        </w:tc>
        <w:tc>
          <w:tcPr>
            <w:tcW w:type="dxa" w:w="676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Serves notices, captures proof of delivery, uploads proof to Rent Manager History &amp; Notes, fields resident questions</w:t>
            </w:r>
          </w:p>
        </w:tc>
      </w:tr>
      <w:tr>
        <w:tc>
          <w:tcPr>
            <w:tcW w:type="dxa" w:w="316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Director of Operations</w:t>
            </w:r>
          </w:p>
        </w:tc>
        <w:tc>
          <w:tcPr>
            <w:tcW w:type="dxa" w:w="676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Process owner; final escalation for disputed increases</w:t>
            </w:r>
          </w:p>
        </w:tc>
      </w:tr>
    </w:tbl>
    <w:p>
      <w:pPr>
        <w:pStyle w:val="Heading1"/>
      </w:pPr>
      <w:r>
        <w:rPr>
          <w:rFonts w:ascii="Calibri" w:hAnsi="Calibri"/>
          <w:color w:val="2F4E65"/>
          <w:sz w:val="30"/>
        </w:rPr>
        <w:t>FLORIDA COMPLIANCE REQUIREMENTS — HARD DEADLINES</w:t>
      </w:r>
    </w:p>
    <w:p>
      <w:r>
        <w:rPr>
          <w:rFonts w:ascii="Calibri" w:hAnsi="Calibri"/>
          <w:b w:val="0"/>
          <w:color w:val="2F4E65"/>
          <w:sz w:val="20"/>
        </w:rPr>
        <w:t>These timelines are statutory. Missing one voids the action or exposes the company to penalties and fee awards. When counting days, follow the statute exactly; when in doubt, add days, never subtract.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88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888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Deadline / Standard</w:t>
            </w:r>
          </w:p>
        </w:tc>
        <w:tc>
          <w:tcPr>
            <w:tcW w:type="dxa" w:w="2160"/>
            <w:shd w:val="clear" w:fill="2F4E6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Citation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Written notice of increase to every affected homeowner AND the homeowners' association board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At least 90 days before the effective 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FS 723.037(1)</w:t>
            </w:r>
          </w:p>
        </w:tc>
      </w:tr>
      <w:tr>
        <w:tc>
          <w:tcPr>
            <w:tcW w:type="dxa" w:w="388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Notice content</w:t>
            </w:r>
          </w:p>
        </w:tc>
        <w:tc>
          <w:tcPr>
            <w:tcW w:type="dxa" w:w="388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Current lot rental amount, amount of the increase, effective date; each pass-through charge itemized separately with the name of the governmental entity and the charge</w:t>
            </w:r>
          </w:p>
        </w:tc>
        <w:tc>
          <w:tcPr>
            <w:tcW w:type="dxa" w:w="2160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FS 723.037(1)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Multiple anniversary dates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One 90-day notice may cover multiple anniversary date increases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FS 723.037(1)</w:t>
            </w:r>
          </w:p>
        </w:tc>
      </w:tr>
      <w:tr>
        <w:tc>
          <w:tcPr>
            <w:tcW w:type="dxa" w:w="388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Frequency of increases</w:t>
            </w:r>
          </w:p>
        </w:tc>
        <w:tc>
          <w:tcPr>
            <w:tcW w:type="dxa" w:w="388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No more than annually; never mid-term except disclosed pass-throughs and disclosed annual adjustments in multi-year agreements</w:t>
            </w:r>
          </w:p>
        </w:tc>
        <w:tc>
          <w:tcPr>
            <w:tcW w:type="dxa" w:w="2160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FS 723.031(5)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Non-discrimination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Increases must not be discriminatory among similarly situated tenants; homeowners cannot waive the 90-day right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FS 723.037</w:t>
            </w:r>
          </w:p>
        </w:tc>
      </w:tr>
      <w:tr>
        <w:tc>
          <w:tcPr>
            <w:tcW w:type="dxa" w:w="388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Pass-through ceiling</w:t>
            </w:r>
          </w:p>
        </w:tc>
        <w:tc>
          <w:tcPr>
            <w:tcW w:type="dxa" w:w="388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Never collect more than the amount actually remitted to the tax collector or utility; charge must be disclosed in the prospectus or before tenancy</w:t>
            </w:r>
          </w:p>
        </w:tc>
        <w:tc>
          <w:tcPr>
            <w:tcW w:type="dxa" w:w="2160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FS 723.031(6)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Homeowners' committee meeting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Committee (max 5 members) meets with the park owner no later than 60 days before the effective 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FS 723.037(4)</w:t>
            </w:r>
          </w:p>
        </w:tc>
      </w:tr>
      <w:tr>
        <w:tc>
          <w:tcPr>
            <w:tcW w:type="dxa" w:w="388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Mediation window</w:t>
            </w:r>
          </w:p>
        </w:tc>
        <w:tc>
          <w:tcPr>
            <w:tcW w:type="dxa" w:w="388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Homeowners may petition the Division for mediation within 30 days after the last scheduled committee meeting</w:t>
            </w:r>
          </w:p>
        </w:tc>
        <w:tc>
          <w:tcPr>
            <w:tcW w:type="dxa" w:w="2160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FS 723.037(5), 723.038</w:t>
            </w:r>
          </w:p>
        </w:tc>
      </w:tr>
      <w:tr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Annual Division filing</w:t>
            </w:r>
          </w:p>
        </w:tc>
        <w:tc>
          <w:tcPr>
            <w:tcW w:type="dxa" w:w="388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File copies of all 723.037 notices given during the preceding year with the Division by January 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FS 723.037(2)</w:t>
            </w:r>
          </w:p>
        </w:tc>
      </w:tr>
      <w:tr>
        <w:tc>
          <w:tcPr>
            <w:tcW w:type="dxa" w:w="388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Prospectus controls the factors</w:t>
            </w:r>
          </w:p>
        </w:tc>
        <w:tc>
          <w:tcPr>
            <w:tcW w:type="dxa" w:w="3888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Increase factors and disclosed charges come from each community's approved prospectus (Section IX in most Parakeet prospectuses)</w:t>
            </w:r>
          </w:p>
        </w:tc>
        <w:tc>
          <w:tcPr>
            <w:tcW w:type="dxa" w:w="2160"/>
            <w:shd w:val="clear" w:fill="F5F7F8"/>
          </w:tcPr>
          <w:p>
            <w:r/>
            <w:r>
              <w:rPr>
                <w:rFonts w:ascii="Calibri" w:hAnsi="Calibri"/>
                <w:b w:val="0"/>
                <w:color w:val="2F4E65"/>
                <w:sz w:val="20"/>
              </w:rPr>
              <w:t>FS 723.011, 723.012, prospectus</w:t>
            </w:r>
          </w:p>
        </w:tc>
      </w:tr>
    </w:tbl>
    <w:p>
      <w:pPr>
        <w:pStyle w:val="Heading1"/>
      </w:pPr>
      <w:r>
        <w:rPr>
          <w:rFonts w:ascii="Calibri" w:hAnsi="Calibri"/>
          <w:color w:val="2F4E65"/>
          <w:sz w:val="30"/>
        </w:rPr>
        <w:t>PROSPECTUS VERIFICATION — DO THIS FIRST, EVERY YEAR</w:t>
      </w:r>
    </w:p>
    <w:p>
      <w:r>
        <w:rPr>
          <w:rFonts w:ascii="Calibri" w:hAnsi="Calibri"/>
          <w:b w:val="0"/>
          <w:color w:val="2F4E65"/>
          <w:sz w:val="22"/>
        </w:rPr>
        <w:t>Every Florida community sits under a specific approved prospectus version (PA, P1, P2, etc.), and individual residents within one community may be under different versions depending on when they moved in. The consolidated matrix lives at: SharePoint &gt; Asset Management &amp; Finance &gt; Prospectus Documents &gt; _Prospectus - FL Consolidated &gt; Prospectus - FL Communities.xlsx.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Confirm which prospectus version applies to each affected resident cohort before drafting any notice.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Confirm the prospectus discloses the increase factors being relied on (increased costs, prevailing market rent, prevailing economic conditions / CPI) and any pass-through authority.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Communities with NO PROSPECTUS ON FILE (per the matrix: Geiger Key RV, Great Oak RV, Hunter Springs, Nalls Court, Paradise Lakes, River Oaks RV, Silver Breeze) — STOP. Route to Legal / Compliance. RV parks are Chapter 513, not 723; manufactured housing communities with 26+ lots and no approved prospectus must be remediated per SOP 804 before relying on prospectus-based increases.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Parks with fewer than 26 lots are exempt from the prospectus requirement (FS 723.011) but still owe the 90-day notice under 723.037.</w:t>
      </w:r>
    </w:p>
    <w:p>
      <w:pPr>
        <w:pStyle w:val="Heading1"/>
      </w:pPr>
      <w:r>
        <w:rPr>
          <w:rFonts w:ascii="Calibri" w:hAnsi="Calibri"/>
          <w:color w:val="2F4E65"/>
          <w:sz w:val="30"/>
        </w:rPr>
        <w:t>PROCEDURE</w:t>
      </w:r>
    </w:p>
    <w:p>
      <w:pPr>
        <w:pStyle w:val="Heading2"/>
      </w:pPr>
      <w:r>
        <w:rPr>
          <w:rFonts w:ascii="Calibri" w:hAnsi="Calibri"/>
          <w:color w:val="2F4E65"/>
          <w:sz w:val="24"/>
        </w:rPr>
        <w:t>Phase 1 — Planning  ·  T-150 to T-120 days before effective date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Asset Management / Finance — extracts the approved increase per community from the budget and pulls anniversary dates from Rent Manager.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Asset Management / Finance — calculates any pass-through charges as each homeowner's proportionate share of the actual, documented cost; attaches the tax bill, assessment, or utility invoice as backup.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Legal / Compliance — completes the Prospectus Verification (above) for every affected community and cohort; signs off in writing.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Director of Operations — approves the final schedule (community, cohort, current amount, new amount, pass-throughs, effective date).</w:t>
      </w:r>
    </w:p>
    <w:p>
      <w:pPr>
        <w:pStyle w:val="Heading2"/>
      </w:pPr>
      <w:r>
        <w:rPr>
          <w:rFonts w:ascii="Calibri" w:hAnsi="Calibri"/>
          <w:color w:val="2F4E65"/>
          <w:sz w:val="24"/>
        </w:rPr>
        <w:t>Phase 2 — Notice Preparation  ·  T-120 to T-95 days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Operations Coordinator — merges the approved schedule into the Florida 90-Day Notice of Lot Rental Increase template; one notice per affected homeowner, identified by lot number and name; pass-through charges itemized separately with the governmental entity named.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Regional Manager — reviews every notice against Rent Manager for accuracy (resident legal name, lot, current amount, new amount, effective date, math).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Legal / Compliance — final approval of the notice package. No notice is served without Legal sign-off.</w:t>
      </w:r>
    </w:p>
    <w:p>
      <w:pPr>
        <w:pStyle w:val="Heading2"/>
      </w:pPr>
      <w:r>
        <w:rPr>
          <w:rFonts w:ascii="Calibri" w:hAnsi="Calibri"/>
          <w:color w:val="2F4E65"/>
          <w:sz w:val="24"/>
        </w:rPr>
        <w:t>Phase 3 — Service  ·  no later than T-90 days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Community Manager — delivers the notice to every affected homeowner using the delivery method required by the community's prospectus and lease; obtain a certificate of mailing (recommended for all mailed notices) or signed receipt.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Community Manager — delivers a copy to the homeowners' association board if one exists for the community.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Community Manager — uploads proof of service for every notice to Rent Manager History &amp; Notes the same day (see SOP 803 for service and documentation standards).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Operations Coordinator — confirms 100% service completion by T-90 and logs the notice package to the Legal shared folder for the January 1 Division filing.</w:t>
      </w:r>
    </w:p>
    <w:p>
      <w:pPr>
        <w:pStyle w:val="Heading2"/>
      </w:pPr>
      <w:r>
        <w:rPr>
          <w:rFonts w:ascii="Calibri" w:hAnsi="Calibri"/>
          <w:color w:val="2F4E65"/>
          <w:sz w:val="24"/>
        </w:rPr>
        <w:t>Phase 4 — Committee Meeting &amp; Mediation Window  ·  T-90 to T-30 days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If a homeowners' committee (up to 5 members) requests a meeting, Regional Manager schedules it so it occurs no later than 60 days before the effective date.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Regional Manager + Legal / Compliance — attend, present the reasons for the increase consistent with the prospectus factors, and document the meeting (date, attendees, materials shared).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If homeowners petition the Division for mediation within 30 days after the last scheduled meeting, Legal / Compliance manages the mediation under FS 723.038. Do not discuss or negotiate outside that process without Legal.</w:t>
      </w:r>
    </w:p>
    <w:p>
      <w:pPr>
        <w:pStyle w:val="Heading2"/>
      </w:pPr>
      <w:r>
        <w:rPr>
          <w:rFonts w:ascii="Calibri" w:hAnsi="Calibri"/>
          <w:color w:val="2F4E65"/>
          <w:sz w:val="24"/>
        </w:rPr>
        <w:t>Phase 5 — Effective Date &amp; Renewals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Operations Coordinator — batch-updates charges in Rent Manager effective on the anniversary date; spot-check 10% of accounts.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Community Manager — issues renewal lot rental agreements reflecting the new amount; remember FS 723.031(5): if the 90-day notice was defective, the old term and rate continue until proper notice is given.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Regional Manager — reviews the first month's rent roll after the effective date for any account still billing the old amount.</w:t>
      </w:r>
    </w:p>
    <w:p>
      <w:pPr>
        <w:pStyle w:val="Heading2"/>
      </w:pPr>
      <w:r>
        <w:rPr>
          <w:rFonts w:ascii="Calibri" w:hAnsi="Calibri"/>
          <w:color w:val="2F4E65"/>
          <w:sz w:val="24"/>
        </w:rPr>
        <w:t>Phase 6 — Annual Division Filing  ·  by January 1</w:t>
      </w:r>
    </w:p>
    <w:p>
      <w:pPr>
        <w:pStyle w:val="ListNumber"/>
      </w:pPr>
      <w:r>
        <w:rPr>
          <w:rFonts w:ascii="Calibri" w:hAnsi="Calibri"/>
          <w:color w:val="2F4E65"/>
          <w:sz w:val="22"/>
        </w:rPr>
        <w:t>Legal / Compliance — files copies of ALL 723.037 notices given during the preceding year with the Division; logs completion on the MASTER Compliance Calendar.</w:t>
      </w:r>
    </w:p>
    <w:p>
      <w:pPr>
        <w:pStyle w:val="Heading1"/>
      </w:pPr>
      <w:r>
        <w:rPr>
          <w:rFonts w:ascii="Calibri" w:hAnsi="Calibri"/>
          <w:color w:val="2F4E65"/>
          <w:sz w:val="30"/>
        </w:rPr>
        <w:t>DOCUMENTATION &amp; RECORDKEEPING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Every notice + proof of service: Rent Manager History &amp; Notes (per resident) AND the community's Legal Notices folder on SharePoint.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Committee meeting minutes and mediation records: Legal / Compliance folder.</w:t>
      </w:r>
    </w:p>
    <w:p>
      <w:pPr>
        <w:pStyle w:val="ListBullet"/>
      </w:pPr>
      <w:r>
        <w:rPr>
          <w:rFonts w:ascii="Calibri" w:hAnsi="Calibri"/>
          <w:color w:val="2F4E65"/>
          <w:sz w:val="22"/>
        </w:rPr>
        <w:t>Retention: 7 years minimum.</w:t>
      </w:r>
    </w:p>
    <w:p/>
    <w:p>
      <w:r>
        <w:rPr>
          <w:rFonts w:ascii="Calibri" w:hAnsi="Calibri"/>
          <w:color w:val="8FA3B2"/>
          <w:sz w:val="18"/>
        </w:rPr>
        <w:t>Draft prepared from the 2025 Florida Statutes (flsenate.gov), the approved community prospectuses on SharePoint (Asset Management &amp; Finance / Prospectus Documents), and existing Parakeet SOPs in Operations / _Training / Standard Operating Procedures.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F4E6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F4E6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4E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F4E6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F4E6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13" ma:contentTypeDescription="Create a new document." ma:contentTypeScope="" ma:versionID="099d58a8c37cdba098fa2852e989e5b8">
  <xsd:schema xmlns:xsd="http://www.w3.org/2001/XMLSchema" xmlns:xs="http://www.w3.org/2001/XMLSchema" xmlns:p="http://schemas.microsoft.com/office/2006/metadata/properties" xmlns:ns2="8b946ec2-561f-4a03-a63a-0eab221a5776" xmlns:ns3="764674dd-e175-44e8-a710-52b02657ed00" targetNamespace="http://schemas.microsoft.com/office/2006/metadata/properties" ma:root="true" ma:fieldsID="ef3808dd6a5f5a95543715c162420a87" ns2:_="" ns3:_="">
    <xsd:import namespace="8b946ec2-561f-4a03-a63a-0eab221a5776"/>
    <xsd:import namespace="764674dd-e175-44e8-a710-52b02657ed00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122a211-7e95-43c4-85fe-cfb3afdd58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4674dd-e175-44e8-a710-52b02657ed0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b658d5b-c62a-4dd6-8c80-51c9b9a50843}" ma:internalName="TaxCatchAll" ma:showField="CatchAllData" ma:web="764674dd-e175-44e8-a710-52b02657ed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946ec2-561f-4a03-a63a-0eab221a5776">
      <Terms xmlns="http://schemas.microsoft.com/office/infopath/2007/PartnerControls"/>
    </lcf76f155ced4ddcb4097134ff3c332f>
    <TaxCatchAll xmlns="764674dd-e175-44e8-a710-52b02657ed00" xsi:nil="true"/>
    <DocumentType xmlns="8b946ec2-561f-4a03-a63a-0eab221a5776" xsi:nil="true"/>
    <PropertyShortName xmlns="8b946ec2-561f-4a03-a63a-0eab221a5776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03A4666-0CAA-4DAF-A975-27E87B2DF9FD}"/>
</file>

<file path=customXml/itemProps3.xml><?xml version="1.0" encoding="utf-8"?>
<ds:datastoreItem xmlns:ds="http://schemas.openxmlformats.org/officeDocument/2006/customXml" ds:itemID="{2DA609AE-1DED-4536-AAD3-6A5585BD8034}"/>
</file>

<file path=customXml/itemProps4.xml><?xml version="1.0" encoding="utf-8"?>
<ds:datastoreItem xmlns:ds="http://schemas.openxmlformats.org/officeDocument/2006/customXml" ds:itemID="{C6B02A2F-464B-4C16-BD08-7481CA84F01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</Properties>
</file>