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641323" cy="502920"/>
            <wp:docPr id="1" name="Picture 1"/>
            <wp:cNvGraphicFramePr>
              <a:graphicFrameLocks noChangeAspect="1"/>
            </wp:cNvGraphicFramePr>
            <a:graphic>
              <a:graphicData uri="http://schemas.openxmlformats.org/drawingml/2006/picture">
                <pic:pic>
                  <pic:nvPicPr>
                    <pic:cNvPr id="0" name="logo_with_tagline.png"/>
                    <pic:cNvPicPr/>
                  </pic:nvPicPr>
                  <pic:blipFill>
                    <a:blip r:embed="rId9"/>
                    <a:stretch>
                      <a:fillRect/>
                    </a:stretch>
                  </pic:blipFill>
                  <pic:spPr>
                    <a:xfrm>
                      <a:off x="0" y="0"/>
                      <a:ext cx="1641323" cy="502920"/>
                    </a:xfrm>
                    <a:prstGeom prst="rect"/>
                  </pic:spPr>
                </pic:pic>
              </a:graphicData>
            </a:graphic>
          </wp:inline>
        </w:drawing>
      </w:r>
    </w:p>
    <w:p>
      <w:r>
        <w:rPr>
          <w:rFonts w:ascii="Calibri" w:hAnsi="Calibri"/>
          <w:b/>
          <w:color w:val="2F4E65"/>
          <w:sz w:val="44"/>
        </w:rPr>
        <w:t>Operational Procedure 802: Community Rules Violation &amp; Enforcement (FL)</w:t>
      </w:r>
    </w:p>
    <w:p>
      <w:r>
        <w:rPr>
          <w:rFonts w:ascii="Calibri" w:hAnsi="Calibri"/>
          <w:b/>
          <w:color w:val="4ABA81"/>
          <w:sz w:val="26"/>
        </w:rPr>
        <w:t>Parakeet Communities  ·  Florida Compliance SOP</w:t>
      </w:r>
    </w:p>
    <w:tbl>
      <w:tblPr>
        <w:tblStyle w:val="TableGrid"/>
        <w:tblW w:type="auto" w:w="0"/>
        <w:tblLook w:firstColumn="1" w:firstRow="1" w:lastColumn="0" w:lastRow="0" w:noHBand="0" w:noVBand="1" w:val="04A0"/>
      </w:tblPr>
      <w:tblGrid>
        <w:gridCol w:w="4968"/>
        <w:gridCol w:w="4968"/>
      </w:tblGrid>
      <w:tr>
        <w:tc>
          <w:tcPr>
            <w:tcW w:type="dxa" w:w="2448"/>
            <w:shd w:val="clear" w:fill="2F4E65"/>
          </w:tcPr>
          <w:p>
            <w:r/>
            <w:r>
              <w:rPr>
                <w:rFonts w:ascii="Calibri" w:hAnsi="Calibri"/>
                <w:b/>
                <w:color w:val="FFFFFF"/>
                <w:sz w:val="20"/>
              </w:rPr>
              <w:t>Process Owner</w:t>
            </w:r>
          </w:p>
        </w:tc>
        <w:tc>
          <w:tcPr>
            <w:tcW w:type="dxa" w:w="7488"/>
          </w:tcPr>
          <w:p>
            <w:r/>
            <w:r>
              <w:rPr>
                <w:rFonts w:ascii="Calibri" w:hAnsi="Calibri"/>
                <w:b w:val="0"/>
                <w:color w:val="2F4E65"/>
                <w:sz w:val="20"/>
              </w:rPr>
              <w:t>Natalie Magurne, Director of Operations</w:t>
            </w:r>
          </w:p>
        </w:tc>
      </w:tr>
      <w:tr>
        <w:tc>
          <w:tcPr>
            <w:tcW w:type="dxa" w:w="2448"/>
            <w:shd w:val="clear" w:fill="2F4E65"/>
          </w:tcPr>
          <w:p>
            <w:r/>
            <w:r>
              <w:rPr>
                <w:rFonts w:ascii="Calibri" w:hAnsi="Calibri"/>
                <w:b/>
                <w:color w:val="FFFFFF"/>
                <w:sz w:val="20"/>
              </w:rPr>
              <w:t>Applies To</w:t>
            </w:r>
          </w:p>
        </w:tc>
        <w:tc>
          <w:tcPr>
            <w:tcW w:type="dxa" w:w="7488"/>
          </w:tcPr>
          <w:p>
            <w:r/>
            <w:r>
              <w:rPr>
                <w:rFonts w:ascii="Calibri" w:hAnsi="Calibri"/>
                <w:b w:val="0"/>
                <w:color w:val="2F4E65"/>
                <w:sz w:val="20"/>
              </w:rPr>
              <w:t>Community Managers, Regional Managers, Operations Coordinator, Evictions Team, Legal / Compliance</w:t>
            </w:r>
          </w:p>
        </w:tc>
      </w:tr>
      <w:tr>
        <w:tc>
          <w:tcPr>
            <w:tcW w:type="dxa" w:w="2448"/>
            <w:shd w:val="clear" w:fill="2F4E65"/>
          </w:tcPr>
          <w:p>
            <w:r/>
            <w:r>
              <w:rPr>
                <w:rFonts w:ascii="Calibri" w:hAnsi="Calibri"/>
                <w:b/>
                <w:color w:val="FFFFFF"/>
                <w:sz w:val="20"/>
              </w:rPr>
              <w:t>Jurisdiction</w:t>
            </w:r>
          </w:p>
        </w:tc>
        <w:tc>
          <w:tcPr>
            <w:tcW w:type="dxa" w:w="7488"/>
          </w:tcPr>
          <w:p>
            <w:r/>
            <w:r>
              <w:rPr>
                <w:rFonts w:ascii="Calibri" w:hAnsi="Calibri"/>
                <w:b w:val="0"/>
                <w:color w:val="2F4E65"/>
                <w:sz w:val="20"/>
              </w:rPr>
              <w:t>FLORIDA communities only (Georgia and South Carolina versions to follow)</w:t>
            </w:r>
          </w:p>
        </w:tc>
      </w:tr>
      <w:tr>
        <w:tc>
          <w:tcPr>
            <w:tcW w:type="dxa" w:w="2448"/>
            <w:shd w:val="clear" w:fill="2F4E65"/>
          </w:tcPr>
          <w:p>
            <w:r/>
            <w:r>
              <w:rPr>
                <w:rFonts w:ascii="Calibri" w:hAnsi="Calibri"/>
                <w:b/>
                <w:color w:val="FFFFFF"/>
                <w:sz w:val="20"/>
              </w:rPr>
              <w:t>Legal Basis</w:t>
            </w:r>
          </w:p>
        </w:tc>
        <w:tc>
          <w:tcPr>
            <w:tcW w:type="dxa" w:w="7488"/>
          </w:tcPr>
          <w:p>
            <w:r/>
            <w:r>
              <w:rPr>
                <w:rFonts w:ascii="Calibri" w:hAnsi="Calibri"/>
                <w:b w:val="0"/>
                <w:color w:val="2F4E65"/>
                <w:sz w:val="20"/>
              </w:rPr>
              <w:t>FS 723.061, 723.033, 723.035; FS 83.56 (park-owned home rentals); community prospectus Exhibit — Park Rules</w:t>
            </w:r>
          </w:p>
        </w:tc>
      </w:tr>
      <w:tr>
        <w:tc>
          <w:tcPr>
            <w:tcW w:type="dxa" w:w="2448"/>
            <w:shd w:val="clear" w:fill="2F4E65"/>
          </w:tcPr>
          <w:p>
            <w:r/>
            <w:r>
              <w:rPr>
                <w:rFonts w:ascii="Calibri" w:hAnsi="Calibri"/>
                <w:b/>
                <w:color w:val="FFFFFF"/>
                <w:sz w:val="20"/>
              </w:rPr>
              <w:t>Primary System</w:t>
            </w:r>
          </w:p>
        </w:tc>
        <w:tc>
          <w:tcPr>
            <w:tcW w:type="dxa" w:w="7488"/>
          </w:tcPr>
          <w:p>
            <w:r/>
            <w:r>
              <w:rPr>
                <w:rFonts w:ascii="Calibri" w:hAnsi="Calibri"/>
                <w:b w:val="0"/>
                <w:color w:val="2F4E65"/>
                <w:sz w:val="20"/>
              </w:rPr>
              <w:t>Rent Manager</w:t>
            </w:r>
          </w:p>
        </w:tc>
      </w:tr>
      <w:tr>
        <w:tc>
          <w:tcPr>
            <w:tcW w:type="dxa" w:w="2448"/>
            <w:shd w:val="clear" w:fill="2F4E65"/>
          </w:tcPr>
          <w:p>
            <w:r/>
            <w:r>
              <w:rPr>
                <w:rFonts w:ascii="Calibri" w:hAnsi="Calibri"/>
                <w:b/>
                <w:color w:val="FFFFFF"/>
                <w:sz w:val="20"/>
              </w:rPr>
              <w:t>Status</w:t>
            </w:r>
          </w:p>
        </w:tc>
        <w:tc>
          <w:tcPr>
            <w:tcW w:type="dxa" w:w="7488"/>
          </w:tcPr>
          <w:p>
            <w:r/>
            <w:r>
              <w:rPr>
                <w:rFonts w:ascii="Calibri" w:hAnsi="Calibri"/>
                <w:b w:val="0"/>
                <w:color w:val="2F4E65"/>
                <w:sz w:val="20"/>
              </w:rPr>
              <w:t>DRAFT V1 — Pending Review</w:t>
            </w:r>
          </w:p>
        </w:tc>
      </w:tr>
      <w:tr>
        <w:tc>
          <w:tcPr>
            <w:tcW w:type="dxa" w:w="2448"/>
            <w:shd w:val="clear" w:fill="2F4E65"/>
          </w:tcPr>
          <w:p>
            <w:r/>
            <w:r>
              <w:rPr>
                <w:rFonts w:ascii="Calibri" w:hAnsi="Calibri"/>
                <w:b/>
                <w:color w:val="FFFFFF"/>
                <w:sz w:val="20"/>
              </w:rPr>
              <w:t>Effective Date</w:t>
            </w:r>
          </w:p>
        </w:tc>
        <w:tc>
          <w:tcPr>
            <w:tcW w:type="dxa" w:w="7488"/>
          </w:tcPr>
          <w:p>
            <w:r/>
            <w:r>
              <w:rPr>
                <w:rFonts w:ascii="Calibri" w:hAnsi="Calibri"/>
                <w:b w:val="0"/>
                <w:color w:val="2F4E65"/>
                <w:sz w:val="20"/>
              </w:rPr>
              <w:t>_________________ (upon approval)</w:t>
            </w:r>
          </w:p>
        </w:tc>
      </w:tr>
      <w:tr>
        <w:tc>
          <w:tcPr>
            <w:tcW w:type="dxa" w:w="2448"/>
            <w:shd w:val="clear" w:fill="2F4E65"/>
          </w:tcPr>
          <w:p>
            <w:r/>
            <w:r>
              <w:rPr>
                <w:rFonts w:ascii="Calibri" w:hAnsi="Calibri"/>
                <w:b/>
                <w:color w:val="FFFFFF"/>
                <w:sz w:val="20"/>
              </w:rPr>
              <w:t>Last Revised</w:t>
            </w:r>
          </w:p>
        </w:tc>
        <w:tc>
          <w:tcPr>
            <w:tcW w:type="dxa" w:w="7488"/>
          </w:tcPr>
          <w:p>
            <w:r/>
            <w:r>
              <w:rPr>
                <w:rFonts w:ascii="Calibri" w:hAnsi="Calibri"/>
                <w:b w:val="0"/>
                <w:color w:val="2F4E65"/>
                <w:sz w:val="20"/>
              </w:rPr>
              <w:t>August 6, 2026 — drafted from 2025 Florida Statutes and community prospectuses</w:t>
            </w:r>
          </w:p>
        </w:tc>
      </w:tr>
    </w:tbl>
    <w:p/>
    <w:p>
      <w:r>
        <w:rPr>
          <w:rFonts w:ascii="Calibri" w:hAnsi="Calibri"/>
          <w:b/>
          <w:color w:val="F16262"/>
          <w:sz w:val="18"/>
        </w:rPr>
        <w:t>LEGAL REVIEW REQUIRED: This SOP restates statutory timelines from Chapters 723 and 83, Florida Statutes (2025), and Parakeet prospectuses. Florida counsel must review and approve before rollout. Where a community prospectus is more restrictive than statute, the prospectus controls.</w:t>
      </w:r>
    </w:p>
    <w:p>
      <w:pPr>
        <w:pStyle w:val="Heading1"/>
      </w:pPr>
      <w:r>
        <w:rPr>
          <w:rFonts w:ascii="Calibri" w:hAnsi="Calibri"/>
          <w:color w:val="2F4E65"/>
          <w:sz w:val="30"/>
        </w:rPr>
        <w:t>PURPOSE</w:t>
      </w:r>
    </w:p>
    <w:p>
      <w:r>
        <w:rPr>
          <w:rFonts w:ascii="Calibri" w:hAnsi="Calibri"/>
          <w:b w:val="0"/>
          <w:color w:val="2F4E65"/>
          <w:sz w:val="22"/>
        </w:rPr>
        <w:t>To enforce community rules consistently and lawfully at Florida communities using the correct statutory track — Chapter 723 for residents who own their home and rent the lot, Chapter 83 for residents renting a park-owned home. Using the wrong notice, the wrong cure period, or inconsistent enforcement voids the eviction and creates Fair Housing exposure.</w:t>
      </w:r>
    </w:p>
    <w:p>
      <w:pPr>
        <w:pStyle w:val="Heading1"/>
      </w:pPr>
      <w:r>
        <w:rPr>
          <w:rFonts w:ascii="Calibri" w:hAnsi="Calibri"/>
          <w:color w:val="2F4E65"/>
          <w:sz w:val="30"/>
        </w:rPr>
        <w:t>SCOPE</w:t>
      </w:r>
    </w:p>
    <w:p>
      <w:pPr>
        <w:pStyle w:val="Heading2"/>
      </w:pPr>
      <w:r>
        <w:rPr>
          <w:rFonts w:ascii="Calibri" w:hAnsi="Calibri"/>
          <w:color w:val="2F4E65"/>
          <w:sz w:val="24"/>
        </w:rPr>
        <w:t>Applies To</w:t>
      </w:r>
    </w:p>
    <w:p>
      <w:pPr>
        <w:pStyle w:val="ListBullet"/>
      </w:pPr>
      <w:r>
        <w:rPr>
          <w:rFonts w:ascii="Calibri" w:hAnsi="Calibri"/>
          <w:color w:val="2F4E65"/>
          <w:sz w:val="22"/>
        </w:rPr>
        <w:t>All Florida communities</w:t>
      </w:r>
    </w:p>
    <w:p>
      <w:pPr>
        <w:pStyle w:val="ListBullet"/>
      </w:pPr>
      <w:r>
        <w:rPr>
          <w:rFonts w:ascii="Calibri" w:hAnsi="Calibri"/>
          <w:color w:val="2F4E65"/>
          <w:sz w:val="22"/>
        </w:rPr>
        <w:t>Track A — Lot tenants (resident-owned home on rented lot): Chapter 723</w:t>
      </w:r>
    </w:p>
    <w:p>
      <w:pPr>
        <w:pStyle w:val="ListBullet"/>
      </w:pPr>
      <w:r>
        <w:rPr>
          <w:rFonts w:ascii="Calibri" w:hAnsi="Calibri"/>
          <w:color w:val="2F4E65"/>
          <w:sz w:val="22"/>
        </w:rPr>
        <w:t>Track B — Park-owned home (POH) renters: Chapter 83, Part II</w:t>
      </w:r>
    </w:p>
    <w:p>
      <w:pPr>
        <w:pStyle w:val="ListBullet"/>
      </w:pPr>
      <w:r>
        <w:rPr>
          <w:rFonts w:ascii="Calibri" w:hAnsi="Calibri"/>
          <w:color w:val="2F4E65"/>
          <w:sz w:val="22"/>
        </w:rPr>
        <w:t>RV tenancies route to Legal for classification before any notice is served</w:t>
      </w:r>
    </w:p>
    <w:p>
      <w:pPr>
        <w:pStyle w:val="ListBullet"/>
      </w:pPr>
      <w:r>
        <w:rPr>
          <w:rFonts w:ascii="Calibri" w:hAnsi="Calibri"/>
          <w:color w:val="2F4E65"/>
          <w:sz w:val="22"/>
        </w:rPr>
        <w:t>Nonpayment of rent is NOT this SOP — nonpayment follows SOP 100 (AR &amp; Collections) and SOP 107 (Eviction)</w:t>
      </w:r>
    </w:p>
    <w:p>
      <w:pPr>
        <w:pStyle w:val="Heading2"/>
      </w:pPr>
      <w:r>
        <w:rPr>
          <w:rFonts w:ascii="Calibri" w:hAnsi="Calibri"/>
          <w:color w:val="2F4E65"/>
          <w:sz w:val="24"/>
        </w:rPr>
        <w:t>Trigger</w:t>
      </w:r>
    </w:p>
    <w:p>
      <w:r>
        <w:rPr>
          <w:rFonts w:ascii="Calibri" w:hAnsi="Calibri"/>
          <w:b w:val="0"/>
          <w:color w:val="2F4E65"/>
          <w:sz w:val="22"/>
        </w:rPr>
        <w:t>A Community Manager observes or receives a documented report of a rule violation (unauthorized occupant or pet, lot condition, vehicle, conduct, etc.).</w:t>
      </w:r>
    </w:p>
    <w:p>
      <w:pPr>
        <w:pStyle w:val="Heading2"/>
      </w:pPr>
      <w:r>
        <w:rPr>
          <w:rFonts w:ascii="Calibri" w:hAnsi="Calibri"/>
          <w:color w:val="2F4E65"/>
          <w:sz w:val="24"/>
        </w:rPr>
        <w:t>Finish Line</w:t>
      </w:r>
    </w:p>
    <w:p>
      <w:r>
        <w:rPr>
          <w:rFonts w:ascii="Calibri" w:hAnsi="Calibri"/>
          <w:b w:val="0"/>
          <w:color w:val="2F4E65"/>
          <w:sz w:val="22"/>
        </w:rPr>
        <w:t>The violation is cured and documented, or the account is handed to the eviction attorney with a complete, statutorily compliant notice trail.</w:t>
      </w:r>
    </w:p>
    <w:p>
      <w:pPr>
        <w:pStyle w:val="Heading1"/>
      </w:pPr>
      <w:r>
        <w:rPr>
          <w:rFonts w:ascii="Calibri" w:hAnsi="Calibri"/>
          <w:color w:val="2F4E65"/>
          <w:sz w:val="30"/>
        </w:rPr>
        <w:t>ROLES &amp; RESPONSIBILITIES</w:t>
      </w:r>
    </w:p>
    <w:tbl>
      <w:tblPr>
        <w:tblStyle w:val="TableGrid"/>
        <w:tblW w:type="auto" w:w="0"/>
        <w:tblLook w:firstColumn="1" w:firstRow="1" w:lastColumn="0" w:lastRow="0" w:noHBand="0" w:noVBand="1" w:val="04A0"/>
      </w:tblPr>
      <w:tblGrid>
        <w:gridCol w:w="4968"/>
        <w:gridCol w:w="4968"/>
      </w:tblGrid>
      <w:tr>
        <w:tc>
          <w:tcPr>
            <w:tcW w:type="dxa" w:w="3168"/>
            <w:shd w:val="clear" w:fill="2F4E65"/>
          </w:tcPr>
          <w:p>
            <w:r/>
            <w:r>
              <w:rPr>
                <w:rFonts w:ascii="Calibri" w:hAnsi="Calibri"/>
                <w:b/>
                <w:color w:val="FFFFFF"/>
                <w:sz w:val="20"/>
              </w:rPr>
              <w:t>Role</w:t>
            </w:r>
          </w:p>
        </w:tc>
        <w:tc>
          <w:tcPr>
            <w:tcW w:type="dxa" w:w="6768"/>
            <w:shd w:val="clear" w:fill="2F4E65"/>
          </w:tcPr>
          <w:p>
            <w:r/>
            <w:r>
              <w:rPr>
                <w:rFonts w:ascii="Calibri" w:hAnsi="Calibri"/>
                <w:b/>
                <w:color w:val="FFFFFF"/>
                <w:sz w:val="20"/>
              </w:rPr>
              <w:t>Responsibility</w:t>
            </w:r>
          </w:p>
        </w:tc>
      </w:tr>
      <w:tr>
        <w:tc>
          <w:tcPr>
            <w:tcW w:type="dxa" w:w="3168"/>
          </w:tcPr>
          <w:p>
            <w:r/>
            <w:r>
              <w:rPr>
                <w:rFonts w:ascii="Calibri" w:hAnsi="Calibri"/>
                <w:b w:val="0"/>
                <w:color w:val="2F4E65"/>
                <w:sz w:val="20"/>
              </w:rPr>
              <w:t>Community Manager</w:t>
            </w:r>
          </w:p>
        </w:tc>
        <w:tc>
          <w:tcPr>
            <w:tcW w:type="dxa" w:w="6768"/>
          </w:tcPr>
          <w:p>
            <w:r/>
            <w:r>
              <w:rPr>
                <w:rFonts w:ascii="Calibri" w:hAnsi="Calibri"/>
                <w:b w:val="0"/>
                <w:color w:val="2F4E65"/>
                <w:sz w:val="20"/>
              </w:rPr>
              <w:t>Observes and documents violations (photos, dates, witness notes) in Rent Manager; serves notices per SOP 803; monitors cure windows; communicates with the resident</w:t>
            </w:r>
          </w:p>
        </w:tc>
      </w:tr>
      <w:tr>
        <w:tc>
          <w:tcPr>
            <w:tcW w:type="dxa" w:w="3168"/>
            <w:shd w:val="clear" w:fill="F5F7F8"/>
          </w:tcPr>
          <w:p>
            <w:r/>
            <w:r>
              <w:rPr>
                <w:rFonts w:ascii="Calibri" w:hAnsi="Calibri"/>
                <w:b w:val="0"/>
                <w:color w:val="2F4E65"/>
                <w:sz w:val="20"/>
              </w:rPr>
              <w:t>Regional Manager</w:t>
            </w:r>
          </w:p>
        </w:tc>
        <w:tc>
          <w:tcPr>
            <w:tcW w:type="dxa" w:w="6768"/>
            <w:shd w:val="clear" w:fill="F5F7F8"/>
          </w:tcPr>
          <w:p>
            <w:r/>
            <w:r>
              <w:rPr>
                <w:rFonts w:ascii="Calibri" w:hAnsi="Calibri"/>
                <w:b w:val="0"/>
                <w:color w:val="2F4E65"/>
                <w:sz w:val="20"/>
              </w:rPr>
              <w:t>Reviews every violation notice before service; confirms track (723 vs 83) and notice type; approves escalation to the Evictions Team</w:t>
            </w:r>
          </w:p>
        </w:tc>
      </w:tr>
      <w:tr>
        <w:tc>
          <w:tcPr>
            <w:tcW w:type="dxa" w:w="3168"/>
          </w:tcPr>
          <w:p>
            <w:r/>
            <w:r>
              <w:rPr>
                <w:rFonts w:ascii="Calibri" w:hAnsi="Calibri"/>
                <w:b w:val="0"/>
                <w:color w:val="2F4E65"/>
                <w:sz w:val="20"/>
              </w:rPr>
              <w:t>Operations Coordinator / Evictions Team</w:t>
            </w:r>
          </w:p>
        </w:tc>
        <w:tc>
          <w:tcPr>
            <w:tcW w:type="dxa" w:w="6768"/>
          </w:tcPr>
          <w:p>
            <w:r/>
            <w:r>
              <w:rPr>
                <w:rFonts w:ascii="Calibri" w:hAnsi="Calibri"/>
                <w:b w:val="0"/>
                <w:color w:val="2F4E65"/>
                <w:sz w:val="20"/>
              </w:rPr>
              <w:t>Generates the correct statutory notice from the Rent Manager template library; prepares attorney intake for uncured or repeat violations</w:t>
            </w:r>
          </w:p>
        </w:tc>
      </w:tr>
      <w:tr>
        <w:tc>
          <w:tcPr>
            <w:tcW w:type="dxa" w:w="3168"/>
            <w:shd w:val="clear" w:fill="F5F7F8"/>
          </w:tcPr>
          <w:p>
            <w:r/>
            <w:r>
              <w:rPr>
                <w:rFonts w:ascii="Calibri" w:hAnsi="Calibri"/>
                <w:b w:val="0"/>
                <w:color w:val="2F4E65"/>
                <w:sz w:val="20"/>
              </w:rPr>
              <w:t>Legal / Compliance</w:t>
            </w:r>
          </w:p>
        </w:tc>
        <w:tc>
          <w:tcPr>
            <w:tcW w:type="dxa" w:w="6768"/>
            <w:shd w:val="clear" w:fill="F5F7F8"/>
          </w:tcPr>
          <w:p>
            <w:r/>
            <w:r>
              <w:rPr>
                <w:rFonts w:ascii="Calibri" w:hAnsi="Calibri"/>
                <w:b w:val="0"/>
                <w:color w:val="2F4E65"/>
                <w:sz w:val="20"/>
              </w:rPr>
              <w:t>Maintains notice templates; rules reasonableness review (FS 723.033); classification calls (RV, mixed tenancies); attorney coordination</w:t>
            </w:r>
          </w:p>
        </w:tc>
      </w:tr>
      <w:tr>
        <w:tc>
          <w:tcPr>
            <w:tcW w:type="dxa" w:w="3168"/>
          </w:tcPr>
          <w:p>
            <w:r/>
            <w:r>
              <w:rPr>
                <w:rFonts w:ascii="Calibri" w:hAnsi="Calibri"/>
                <w:b w:val="0"/>
                <w:color w:val="2F4E65"/>
                <w:sz w:val="20"/>
              </w:rPr>
              <w:t>Director of Operations</w:t>
            </w:r>
          </w:p>
        </w:tc>
        <w:tc>
          <w:tcPr>
            <w:tcW w:type="dxa" w:w="6768"/>
          </w:tcPr>
          <w:p>
            <w:r/>
            <w:r>
              <w:rPr>
                <w:rFonts w:ascii="Calibri" w:hAnsi="Calibri"/>
                <w:b w:val="0"/>
                <w:color w:val="2F4E65"/>
                <w:sz w:val="20"/>
              </w:rPr>
              <w:t>Process owner; approves any enforcement exception (exceptions are the enemy — see Fair Housing note)</w:t>
            </w:r>
          </w:p>
        </w:tc>
      </w:tr>
    </w:tbl>
    <w:p>
      <w:pPr>
        <w:pStyle w:val="Heading1"/>
      </w:pPr>
      <w:r>
        <w:rPr>
          <w:rFonts w:ascii="Calibri" w:hAnsi="Calibri"/>
          <w:color w:val="2F4E65"/>
          <w:sz w:val="30"/>
        </w:rPr>
        <w:t>FLORIDA COMPLIANCE REQUIREMENTS — HARD DEADLINES</w:t>
      </w:r>
    </w:p>
    <w:p>
      <w:r>
        <w:rPr>
          <w:rFonts w:ascii="Calibri" w:hAnsi="Calibri"/>
          <w:b w:val="0"/>
          <w:color w:val="2F4E65"/>
          <w:sz w:val="20"/>
        </w:rPr>
        <w:t>These timelines are statutory. Missing one voids the action or exposes the company to penalties and fee awards. When counting days, follow the statute exactly; when in doubt, add days, never subtract.</w:t>
      </w:r>
    </w:p>
    <w:tbl>
      <w:tblPr>
        <w:tblStyle w:val="TableGrid"/>
        <w:tblW w:type="auto" w:w="0"/>
        <w:tblLook w:firstColumn="1" w:firstRow="1" w:lastColumn="0" w:lastRow="0" w:noHBand="0" w:noVBand="1" w:val="04A0"/>
      </w:tblPr>
      <w:tblGrid>
        <w:gridCol w:w="3312"/>
        <w:gridCol w:w="3312"/>
        <w:gridCol w:w="3312"/>
      </w:tblGrid>
      <w:tr>
        <w:tc>
          <w:tcPr>
            <w:tcW w:type="dxa" w:w="3888"/>
            <w:shd w:val="clear" w:fill="2F4E65"/>
          </w:tcPr>
          <w:p>
            <w:r/>
            <w:r>
              <w:rPr>
                <w:rFonts w:ascii="Calibri" w:hAnsi="Calibri"/>
                <w:b/>
                <w:color w:val="FFFFFF"/>
                <w:sz w:val="20"/>
              </w:rPr>
              <w:t>Requirement</w:t>
            </w:r>
          </w:p>
        </w:tc>
        <w:tc>
          <w:tcPr>
            <w:tcW w:type="dxa" w:w="3888"/>
            <w:shd w:val="clear" w:fill="2F4E65"/>
          </w:tcPr>
          <w:p>
            <w:r/>
            <w:r>
              <w:rPr>
                <w:rFonts w:ascii="Calibri" w:hAnsi="Calibri"/>
                <w:b/>
                <w:color w:val="FFFFFF"/>
                <w:sz w:val="20"/>
              </w:rPr>
              <w:t>Deadline / Standard</w:t>
            </w:r>
          </w:p>
        </w:tc>
        <w:tc>
          <w:tcPr>
            <w:tcW w:type="dxa" w:w="2160"/>
            <w:shd w:val="clear" w:fill="2F4E65"/>
          </w:tcPr>
          <w:p>
            <w:r/>
            <w:r>
              <w:rPr>
                <w:rFonts w:ascii="Calibri" w:hAnsi="Calibri"/>
                <w:b/>
                <w:color w:val="FFFFFF"/>
                <w:sz w:val="20"/>
              </w:rPr>
              <w:t>Citation</w:t>
            </w:r>
          </w:p>
        </w:tc>
      </w:tr>
      <w:tr>
        <w:tc>
          <w:tcPr>
            <w:tcW w:type="dxa" w:w="3888"/>
          </w:tcPr>
          <w:p>
            <w:r/>
            <w:r>
              <w:rPr>
                <w:rFonts w:ascii="Calibri" w:hAnsi="Calibri"/>
                <w:b w:val="0"/>
                <w:color w:val="2F4E65"/>
                <w:sz w:val="20"/>
              </w:rPr>
              <w:t>TRACK A (Ch. 723) — first violation notice</w:t>
            </w:r>
          </w:p>
        </w:tc>
        <w:tc>
          <w:tcPr>
            <w:tcW w:type="dxa" w:w="3888"/>
          </w:tcPr>
          <w:p>
            <w:r/>
            <w:r>
              <w:rPr>
                <w:rFonts w:ascii="Calibri" w:hAnsi="Calibri"/>
                <w:b w:val="0"/>
                <w:color w:val="2F4E65"/>
                <w:sz w:val="20"/>
              </w:rPr>
              <w:t>Written notice; resident has 7 days after delivery to cure. Notice must specify the rule or provision violated</w:t>
            </w:r>
          </w:p>
        </w:tc>
        <w:tc>
          <w:tcPr>
            <w:tcW w:type="dxa" w:w="2160"/>
          </w:tcPr>
          <w:p>
            <w:r/>
            <w:r>
              <w:rPr>
                <w:rFonts w:ascii="Calibri" w:hAnsi="Calibri"/>
                <w:b w:val="0"/>
                <w:color w:val="2F4E65"/>
                <w:sz w:val="20"/>
              </w:rPr>
              <w:t>FS 723.061(1)</w:t>
            </w:r>
          </w:p>
        </w:tc>
      </w:tr>
      <w:tr>
        <w:tc>
          <w:tcPr>
            <w:tcW w:type="dxa" w:w="3888"/>
            <w:shd w:val="clear" w:fill="F5F7F8"/>
          </w:tcPr>
          <w:p>
            <w:r/>
            <w:r>
              <w:rPr>
                <w:rFonts w:ascii="Calibri" w:hAnsi="Calibri"/>
                <w:b w:val="0"/>
                <w:color w:val="2F4E65"/>
                <w:sz w:val="20"/>
              </w:rPr>
              <w:t>TRACK A — second violation of the same nature within 12 months</w:t>
            </w:r>
          </w:p>
        </w:tc>
        <w:tc>
          <w:tcPr>
            <w:tcW w:type="dxa" w:w="3888"/>
            <w:shd w:val="clear" w:fill="F5F7F8"/>
          </w:tcPr>
          <w:p>
            <w:r/>
            <w:r>
              <w:rPr>
                <w:rFonts w:ascii="Calibri" w:hAnsi="Calibri"/>
                <w:b w:val="0"/>
                <w:color w:val="2F4E65"/>
                <w:sz w:val="20"/>
              </w:rPr>
              <w:t>Eviction may proceed; resident is NOT entitled to a second cure period; eviction notice at least 30 days before the required vacate date. The first-violation notice must have been given within 30 days of the first violation</w:t>
            </w:r>
          </w:p>
        </w:tc>
        <w:tc>
          <w:tcPr>
            <w:tcW w:type="dxa" w:w="2160"/>
            <w:shd w:val="clear" w:fill="F5F7F8"/>
          </w:tcPr>
          <w:p>
            <w:r/>
            <w:r>
              <w:rPr>
                <w:rFonts w:ascii="Calibri" w:hAnsi="Calibri"/>
                <w:b w:val="0"/>
                <w:color w:val="2F4E65"/>
                <w:sz w:val="20"/>
              </w:rPr>
              <w:t>FS 723.061(1)</w:t>
            </w:r>
          </w:p>
        </w:tc>
      </w:tr>
      <w:tr>
        <w:tc>
          <w:tcPr>
            <w:tcW w:type="dxa" w:w="3888"/>
          </w:tcPr>
          <w:p>
            <w:r/>
            <w:r>
              <w:rPr>
                <w:rFonts w:ascii="Calibri" w:hAnsi="Calibri"/>
                <w:b w:val="0"/>
                <w:color w:val="2F4E65"/>
                <w:sz w:val="20"/>
              </w:rPr>
              <w:t>TRACK A — violation endangering life, health, safety, or property</w:t>
            </w:r>
          </w:p>
        </w:tc>
        <w:tc>
          <w:tcPr>
            <w:tcW w:type="dxa" w:w="3888"/>
          </w:tcPr>
          <w:p>
            <w:r/>
            <w:r>
              <w:rPr>
                <w:rFonts w:ascii="Calibri" w:hAnsi="Calibri"/>
                <w:b w:val="0"/>
                <w:color w:val="2F4E65"/>
                <w:sz w:val="20"/>
              </w:rPr>
              <w:t>Notice to vacate within 7 days after delivery; no cure period</w:t>
            </w:r>
          </w:p>
        </w:tc>
        <w:tc>
          <w:tcPr>
            <w:tcW w:type="dxa" w:w="2160"/>
          </w:tcPr>
          <w:p>
            <w:r/>
            <w:r>
              <w:rPr>
                <w:rFonts w:ascii="Calibri" w:hAnsi="Calibri"/>
                <w:b w:val="0"/>
                <w:color w:val="2F4E65"/>
                <w:sz w:val="20"/>
              </w:rPr>
              <w:t>FS 723.061(1)</w:t>
            </w:r>
          </w:p>
        </w:tc>
      </w:tr>
      <w:tr>
        <w:tc>
          <w:tcPr>
            <w:tcW w:type="dxa" w:w="3888"/>
            <w:shd w:val="clear" w:fill="F5F7F8"/>
          </w:tcPr>
          <w:p>
            <w:r/>
            <w:r>
              <w:rPr>
                <w:rFonts w:ascii="Calibri" w:hAnsi="Calibri"/>
                <w:b w:val="0"/>
                <w:color w:val="2F4E65"/>
                <w:sz w:val="20"/>
              </w:rPr>
              <w:t>TRACK A — service standard</w:t>
            </w:r>
          </w:p>
        </w:tc>
        <w:tc>
          <w:tcPr>
            <w:tcW w:type="dxa" w:w="3888"/>
            <w:shd w:val="clear" w:fill="F5F7F8"/>
          </w:tcPr>
          <w:p>
            <w:r/>
            <w:r>
              <w:rPr>
                <w:rFonts w:ascii="Calibri" w:hAnsi="Calibri"/>
                <w:b w:val="0"/>
                <w:color w:val="2F4E65"/>
                <w:sz w:val="20"/>
              </w:rPr>
              <w:t>Post on the premises AND send by certified or registered mail, return receipt requested; mailed notice deemed delivered 5 days after postmark</w:t>
            </w:r>
          </w:p>
        </w:tc>
        <w:tc>
          <w:tcPr>
            <w:tcW w:type="dxa" w:w="2160"/>
            <w:shd w:val="clear" w:fill="F5F7F8"/>
          </w:tcPr>
          <w:p>
            <w:r/>
            <w:r>
              <w:rPr>
                <w:rFonts w:ascii="Calibri" w:hAnsi="Calibri"/>
                <w:b w:val="0"/>
                <w:color w:val="2F4E65"/>
                <w:sz w:val="20"/>
              </w:rPr>
              <w:t>FS 723.061</w:t>
            </w:r>
          </w:p>
        </w:tc>
      </w:tr>
      <w:tr>
        <w:tc>
          <w:tcPr>
            <w:tcW w:type="dxa" w:w="3888"/>
          </w:tcPr>
          <w:p>
            <w:r/>
            <w:r>
              <w:rPr>
                <w:rFonts w:ascii="Calibri" w:hAnsi="Calibri"/>
                <w:b w:val="0"/>
                <w:color w:val="2F4E65"/>
                <w:sz w:val="20"/>
              </w:rPr>
              <w:t>TRACK B (Ch. 83) — curable violation</w:t>
            </w:r>
          </w:p>
        </w:tc>
        <w:tc>
          <w:tcPr>
            <w:tcW w:type="dxa" w:w="3888"/>
          </w:tcPr>
          <w:p>
            <w:r/>
            <w:r>
              <w:rPr>
                <w:rFonts w:ascii="Calibri" w:hAnsi="Calibri"/>
                <w:b w:val="0"/>
                <w:color w:val="2F4E65"/>
                <w:sz w:val="20"/>
              </w:rPr>
              <w:t>7-day written notice with opportunity to cure (statutory language required)</w:t>
            </w:r>
          </w:p>
        </w:tc>
        <w:tc>
          <w:tcPr>
            <w:tcW w:type="dxa" w:w="2160"/>
          </w:tcPr>
          <w:p>
            <w:r/>
            <w:r>
              <w:rPr>
                <w:rFonts w:ascii="Calibri" w:hAnsi="Calibri"/>
                <w:b w:val="0"/>
                <w:color w:val="2F4E65"/>
                <w:sz w:val="20"/>
              </w:rPr>
              <w:t>FS 83.56(2)(b)</w:t>
            </w:r>
          </w:p>
        </w:tc>
      </w:tr>
      <w:tr>
        <w:tc>
          <w:tcPr>
            <w:tcW w:type="dxa" w:w="3888"/>
            <w:shd w:val="clear" w:fill="F5F7F8"/>
          </w:tcPr>
          <w:p>
            <w:r/>
            <w:r>
              <w:rPr>
                <w:rFonts w:ascii="Calibri" w:hAnsi="Calibri"/>
                <w:b w:val="0"/>
                <w:color w:val="2F4E65"/>
                <w:sz w:val="20"/>
              </w:rPr>
              <w:t>TRACK B — non-curable or repeat violation within 12 months</w:t>
            </w:r>
          </w:p>
        </w:tc>
        <w:tc>
          <w:tcPr>
            <w:tcW w:type="dxa" w:w="3888"/>
            <w:shd w:val="clear" w:fill="F5F7F8"/>
          </w:tcPr>
          <w:p>
            <w:r/>
            <w:r>
              <w:rPr>
                <w:rFonts w:ascii="Calibri" w:hAnsi="Calibri"/>
                <w:b w:val="0"/>
                <w:color w:val="2F4E65"/>
                <w:sz w:val="20"/>
              </w:rPr>
              <w:t>7-day unconditional notice to vacate</w:t>
            </w:r>
          </w:p>
        </w:tc>
        <w:tc>
          <w:tcPr>
            <w:tcW w:type="dxa" w:w="2160"/>
            <w:shd w:val="clear" w:fill="F5F7F8"/>
          </w:tcPr>
          <w:p>
            <w:r/>
            <w:r>
              <w:rPr>
                <w:rFonts w:ascii="Calibri" w:hAnsi="Calibri"/>
                <w:b w:val="0"/>
                <w:color w:val="2F4E65"/>
                <w:sz w:val="20"/>
              </w:rPr>
              <w:t>FS 83.56(2)(a)</w:t>
            </w:r>
          </w:p>
        </w:tc>
      </w:tr>
      <w:tr>
        <w:tc>
          <w:tcPr>
            <w:tcW w:type="dxa" w:w="3888"/>
          </w:tcPr>
          <w:p>
            <w:r/>
            <w:r>
              <w:rPr>
                <w:rFonts w:ascii="Calibri" w:hAnsi="Calibri"/>
                <w:b w:val="0"/>
                <w:color w:val="2F4E65"/>
                <w:sz w:val="20"/>
              </w:rPr>
              <w:t>TRACK B — service standard</w:t>
            </w:r>
          </w:p>
        </w:tc>
        <w:tc>
          <w:tcPr>
            <w:tcW w:type="dxa" w:w="3888"/>
          </w:tcPr>
          <w:p>
            <w:r/>
            <w:r>
              <w:rPr>
                <w:rFonts w:ascii="Calibri" w:hAnsi="Calibri"/>
                <w:b w:val="0"/>
                <w:color w:val="2F4E65"/>
                <w:sz w:val="20"/>
              </w:rPr>
              <w:t>Mail, hand delivery, or posting at the premises if the tenant is absent</w:t>
            </w:r>
          </w:p>
        </w:tc>
        <w:tc>
          <w:tcPr>
            <w:tcW w:type="dxa" w:w="2160"/>
          </w:tcPr>
          <w:p>
            <w:r/>
            <w:r>
              <w:rPr>
                <w:rFonts w:ascii="Calibri" w:hAnsi="Calibri"/>
                <w:b w:val="0"/>
                <w:color w:val="2F4E65"/>
                <w:sz w:val="20"/>
              </w:rPr>
              <w:t>FS 83.56(4)</w:t>
            </w:r>
          </w:p>
        </w:tc>
      </w:tr>
      <w:tr>
        <w:tc>
          <w:tcPr>
            <w:tcW w:type="dxa" w:w="3888"/>
            <w:shd w:val="clear" w:fill="F5F7F8"/>
          </w:tcPr>
          <w:p>
            <w:r/>
            <w:r>
              <w:rPr>
                <w:rFonts w:ascii="Calibri" w:hAnsi="Calibri"/>
                <w:b w:val="0"/>
                <w:color w:val="2F4E65"/>
                <w:sz w:val="20"/>
              </w:rPr>
              <w:t>Rules must be reasonable and disclosed</w:t>
            </w:r>
          </w:p>
        </w:tc>
        <w:tc>
          <w:tcPr>
            <w:tcW w:type="dxa" w:w="3888"/>
            <w:shd w:val="clear" w:fill="F5F7F8"/>
          </w:tcPr>
          <w:p>
            <w:r/>
            <w:r>
              <w:rPr>
                <w:rFonts w:ascii="Calibri" w:hAnsi="Calibri"/>
                <w:b w:val="0"/>
                <w:color w:val="2F4E65"/>
                <w:sz w:val="20"/>
              </w:rPr>
              <w:t>Rules are an exhibit to the prospectus (Track A) or the lease (Track B); unreasonable or undisclosed rules are unenforceable</w:t>
            </w:r>
          </w:p>
        </w:tc>
        <w:tc>
          <w:tcPr>
            <w:tcW w:type="dxa" w:w="2160"/>
            <w:shd w:val="clear" w:fill="F5F7F8"/>
          </w:tcPr>
          <w:p>
            <w:r/>
            <w:r>
              <w:rPr>
                <w:rFonts w:ascii="Calibri" w:hAnsi="Calibri"/>
                <w:b w:val="0"/>
                <w:color w:val="2F4E65"/>
                <w:sz w:val="20"/>
              </w:rPr>
              <w:t>FS 723.033, 723.035, 723.011</w:t>
            </w:r>
          </w:p>
        </w:tc>
      </w:tr>
    </w:tbl>
    <w:p>
      <w:pPr>
        <w:pStyle w:val="Heading1"/>
      </w:pPr>
      <w:r>
        <w:rPr>
          <w:rFonts w:ascii="Calibri" w:hAnsi="Calibri"/>
          <w:color w:val="2F4E65"/>
          <w:sz w:val="30"/>
        </w:rPr>
        <w:t>FAIR HOUSING GUARDRAIL</w:t>
      </w:r>
    </w:p>
    <w:p>
      <w:r>
        <w:rPr>
          <w:rFonts w:ascii="Calibri" w:hAnsi="Calibri"/>
          <w:b w:val="0"/>
          <w:color w:val="2F4E65"/>
          <w:sz w:val="22"/>
        </w:rPr>
        <w:t>Enforcement must be uniform. Same violation, same notice, same timeline, every resident, every time. Never serve a violation notice on one resident for conduct tolerated from another. Every exception requires Director of Operations approval in writing, documented in Rent Manager. Selective enforcement is the fastest way to lose an eviction and buy a Fair Housing complaint.</w:t>
      </w:r>
    </w:p>
    <w:p>
      <w:pPr>
        <w:pStyle w:val="Heading1"/>
      </w:pPr>
      <w:r>
        <w:rPr>
          <w:rFonts w:ascii="Calibri" w:hAnsi="Calibri"/>
          <w:color w:val="2F4E65"/>
          <w:sz w:val="30"/>
        </w:rPr>
        <w:t>PROCEDURE</w:t>
      </w:r>
    </w:p>
    <w:p>
      <w:pPr>
        <w:pStyle w:val="Heading2"/>
      </w:pPr>
      <w:r>
        <w:rPr>
          <w:rFonts w:ascii="Calibri" w:hAnsi="Calibri"/>
          <w:color w:val="2F4E65"/>
          <w:sz w:val="24"/>
        </w:rPr>
        <w:t>Phase 1 — Identify &amp; Document</w:t>
      </w:r>
    </w:p>
    <w:p>
      <w:pPr>
        <w:pStyle w:val="ListNumber"/>
      </w:pPr>
      <w:r>
        <w:rPr>
          <w:rFonts w:ascii="Calibri" w:hAnsi="Calibri"/>
          <w:color w:val="2F4E65"/>
          <w:sz w:val="22"/>
        </w:rPr>
        <w:t>Community Manager — documents the violation the day it is observed: date-stamped photos, description, rule citation (quote the specific park rule from the prospectus exhibit or lease), any witness statements.</w:t>
      </w:r>
    </w:p>
    <w:p>
      <w:pPr>
        <w:pStyle w:val="ListNumber"/>
      </w:pPr>
      <w:r>
        <w:rPr>
          <w:rFonts w:ascii="Calibri" w:hAnsi="Calibri"/>
          <w:color w:val="2F4E65"/>
          <w:sz w:val="22"/>
        </w:rPr>
        <w:t>Community Manager — creates an issue in Rent Manager under the resident with all documentation attached.</w:t>
      </w:r>
    </w:p>
    <w:p>
      <w:pPr>
        <w:pStyle w:val="ListNumber"/>
      </w:pPr>
      <w:r>
        <w:rPr>
          <w:rFonts w:ascii="Calibri" w:hAnsi="Calibri"/>
          <w:color w:val="2F4E65"/>
          <w:sz w:val="22"/>
        </w:rPr>
        <w:t>Community Manager — attempts an informal conversation first for minor first offenses (documented in History &amp; Notes). Many violations cure with a knock on the door — but the clock and the paper trail start regardless.</w:t>
      </w:r>
    </w:p>
    <w:p>
      <w:pPr>
        <w:pStyle w:val="Heading2"/>
      </w:pPr>
      <w:r>
        <w:rPr>
          <w:rFonts w:ascii="Calibri" w:hAnsi="Calibri"/>
          <w:color w:val="2F4E65"/>
          <w:sz w:val="24"/>
        </w:rPr>
        <w:t>Phase 2 — Classify the Track</w:t>
      </w:r>
    </w:p>
    <w:p>
      <w:pPr>
        <w:pStyle w:val="ListNumber"/>
      </w:pPr>
      <w:r>
        <w:rPr>
          <w:rFonts w:ascii="Calibri" w:hAnsi="Calibri"/>
          <w:color w:val="2F4E65"/>
          <w:sz w:val="22"/>
        </w:rPr>
        <w:t>Community Manager — confirms in Rent Manager whether the resident owns the home (Track A — Chapter 723) or rents a park-owned home (Track B — Chapter 83).</w:t>
      </w:r>
    </w:p>
    <w:p>
      <w:pPr>
        <w:pStyle w:val="ListNumber"/>
      </w:pPr>
      <w:r>
        <w:rPr>
          <w:rFonts w:ascii="Calibri" w:hAnsi="Calibri"/>
          <w:color w:val="2F4E65"/>
          <w:sz w:val="22"/>
        </w:rPr>
        <w:t>For RV sites or unclear ownership (unrecorded sales, inherited homes), STOP and route to Legal / Compliance for classification before any notice is served.</w:t>
      </w:r>
    </w:p>
    <w:p>
      <w:pPr>
        <w:pStyle w:val="ListNumber"/>
      </w:pPr>
      <w:r>
        <w:rPr>
          <w:rFonts w:ascii="Calibri" w:hAnsi="Calibri"/>
          <w:color w:val="2F4E65"/>
          <w:sz w:val="22"/>
        </w:rPr>
        <w:t>Regional Manager — confirms the classification and the correct notice type.</w:t>
      </w:r>
    </w:p>
    <w:p>
      <w:pPr>
        <w:pStyle w:val="Heading2"/>
      </w:pPr>
      <w:r>
        <w:rPr>
          <w:rFonts w:ascii="Calibri" w:hAnsi="Calibri"/>
          <w:color w:val="2F4E65"/>
          <w:sz w:val="24"/>
        </w:rPr>
        <w:t>Phase 3 — Notice Generation &amp; Service</w:t>
      </w:r>
    </w:p>
    <w:p>
      <w:pPr>
        <w:pStyle w:val="ListNumber"/>
      </w:pPr>
      <w:r>
        <w:rPr>
          <w:rFonts w:ascii="Calibri" w:hAnsi="Calibri"/>
          <w:color w:val="2F4E65"/>
          <w:sz w:val="22"/>
        </w:rPr>
        <w:t>Operations Coordinator — generates the correct statutory notice from the Rent Manager template library (Track A 7-day cure; Track A 7-day vacate for endangerment; Track B 7-day cure; Track B 7-day unconditional).</w:t>
      </w:r>
    </w:p>
    <w:p>
      <w:pPr>
        <w:pStyle w:val="ListNumber"/>
      </w:pPr>
      <w:r>
        <w:rPr>
          <w:rFonts w:ascii="Calibri" w:hAnsi="Calibri"/>
          <w:color w:val="2F4E65"/>
          <w:sz w:val="22"/>
        </w:rPr>
        <w:t>Regional Manager — reviews the notice: correct resident legal name, lot, rule quoted verbatim, correct track, correct dates.</w:t>
      </w:r>
    </w:p>
    <w:p>
      <w:pPr>
        <w:pStyle w:val="ListNumber"/>
      </w:pPr>
      <w:r>
        <w:rPr>
          <w:rFonts w:ascii="Calibri" w:hAnsi="Calibri"/>
          <w:color w:val="2F4E65"/>
          <w:sz w:val="22"/>
        </w:rPr>
        <w:t>Community Manager — serves per SOP 803: Track A = post on premises + certified or registered mail, return receipt requested (deemed delivered 5 days after postmark — build this into every deadline calculation); Track B = mail, hand delivery, or posting if absent.</w:t>
      </w:r>
    </w:p>
    <w:p>
      <w:pPr>
        <w:pStyle w:val="ListNumber"/>
      </w:pPr>
      <w:r>
        <w:rPr>
          <w:rFonts w:ascii="Calibri" w:hAnsi="Calibri"/>
          <w:color w:val="2F4E65"/>
          <w:sz w:val="22"/>
        </w:rPr>
        <w:t>Community Manager — uploads proof of service to Rent Manager History &amp; Notes the same day.</w:t>
      </w:r>
    </w:p>
    <w:p>
      <w:pPr>
        <w:pStyle w:val="Heading2"/>
      </w:pPr>
      <w:r>
        <w:rPr>
          <w:rFonts w:ascii="Calibri" w:hAnsi="Calibri"/>
          <w:color w:val="2F4E65"/>
          <w:sz w:val="24"/>
        </w:rPr>
        <w:t>Phase 4 — Cure Window Monitoring</w:t>
      </w:r>
    </w:p>
    <w:p>
      <w:pPr>
        <w:pStyle w:val="ListNumber"/>
      </w:pPr>
      <w:r>
        <w:rPr>
          <w:rFonts w:ascii="Calibri" w:hAnsi="Calibri"/>
          <w:color w:val="2F4E65"/>
          <w:sz w:val="22"/>
        </w:rPr>
        <w:t>Community Manager — calendars the cure deadline (7 days from DELIVERY, which for mailed Track A notices means postmark + 5 days + 7 days).</w:t>
      </w:r>
    </w:p>
    <w:p>
      <w:pPr>
        <w:pStyle w:val="ListNumber"/>
      </w:pPr>
      <w:r>
        <w:rPr>
          <w:rFonts w:ascii="Calibri" w:hAnsi="Calibri"/>
          <w:color w:val="2F4E65"/>
          <w:sz w:val="22"/>
        </w:rPr>
        <w:t>Community Manager — inspects on the deadline date and photographs the outcome (cured or not).</w:t>
      </w:r>
    </w:p>
    <w:p>
      <w:pPr>
        <w:pStyle w:val="ListNumber"/>
      </w:pPr>
      <w:r>
        <w:rPr>
          <w:rFonts w:ascii="Calibri" w:hAnsi="Calibri"/>
          <w:color w:val="2F4E65"/>
          <w:sz w:val="22"/>
        </w:rPr>
        <w:t>If cured: document in Rent Manager, close the issue, retain the notice trail. The 12-month repeat-violation clock keeps running.</w:t>
      </w:r>
    </w:p>
    <w:p>
      <w:pPr>
        <w:pStyle w:val="Heading2"/>
      </w:pPr>
      <w:r>
        <w:rPr>
          <w:rFonts w:ascii="Calibri" w:hAnsi="Calibri"/>
          <w:color w:val="2F4E65"/>
          <w:sz w:val="24"/>
        </w:rPr>
        <w:t>Phase 5 — Escalation</w:t>
      </w:r>
    </w:p>
    <w:p>
      <w:pPr>
        <w:pStyle w:val="ListNumber"/>
      </w:pPr>
      <w:r>
        <w:rPr>
          <w:rFonts w:ascii="Calibri" w:hAnsi="Calibri"/>
          <w:color w:val="2F4E65"/>
          <w:sz w:val="22"/>
        </w:rPr>
        <w:t>If not cured, or a second violation of the same nature occurs within 12 months: Evictions Team prepares the attorney intake packet (all notices, proofs of service, photos, ledger) per the SOP 107 intake standard.</w:t>
      </w:r>
    </w:p>
    <w:p>
      <w:pPr>
        <w:pStyle w:val="ListNumber"/>
      </w:pPr>
      <w:r>
        <w:rPr>
          <w:rFonts w:ascii="Calibri" w:hAnsi="Calibri"/>
          <w:color w:val="2F4E65"/>
          <w:sz w:val="22"/>
        </w:rPr>
        <w:t>Regional Manager — final review; Director of Operations and evictions@parakeetcommunities.com copied on the attorney handoff.</w:t>
      </w:r>
    </w:p>
    <w:p>
      <w:pPr>
        <w:pStyle w:val="ListNumber"/>
      </w:pPr>
      <w:r>
        <w:rPr>
          <w:rFonts w:ascii="Calibri" w:hAnsi="Calibri"/>
          <w:color w:val="2F4E65"/>
          <w:sz w:val="22"/>
        </w:rPr>
        <w:t>Track A second violations: confirm the first-violation notice was served within 30 days of the first violation and the eviction notice gives at least 30 days before the required vacate date.</w:t>
      </w:r>
    </w:p>
    <w:p>
      <w:pPr>
        <w:pStyle w:val="Heading1"/>
      </w:pPr>
      <w:r>
        <w:rPr>
          <w:rFonts w:ascii="Calibri" w:hAnsi="Calibri"/>
          <w:color w:val="2F4E65"/>
          <w:sz w:val="30"/>
        </w:rPr>
        <w:t>DOCUMENTATION &amp; RECORDKEEPING</w:t>
      </w:r>
    </w:p>
    <w:p>
      <w:pPr>
        <w:pStyle w:val="ListBullet"/>
      </w:pPr>
      <w:r>
        <w:rPr>
          <w:rFonts w:ascii="Calibri" w:hAnsi="Calibri"/>
          <w:color w:val="2F4E65"/>
          <w:sz w:val="22"/>
        </w:rPr>
        <w:t>Every violation: Rent Manager issue + History &amp; Notes entry, photos, notice PDF, proof of service.</w:t>
      </w:r>
    </w:p>
    <w:p>
      <w:pPr>
        <w:pStyle w:val="ListBullet"/>
      </w:pPr>
      <w:r>
        <w:rPr>
          <w:rFonts w:ascii="Calibri" w:hAnsi="Calibri"/>
          <w:color w:val="2F4E65"/>
          <w:sz w:val="22"/>
        </w:rPr>
        <w:t>A violation without a paper trail did not happen. If the file cannot support an eviction six months from now, the documentation is incomplete.</w:t>
      </w:r>
    </w:p>
    <w:p>
      <w:pPr>
        <w:pStyle w:val="ListBullet"/>
      </w:pPr>
      <w:r>
        <w:rPr>
          <w:rFonts w:ascii="Calibri" w:hAnsi="Calibri"/>
          <w:color w:val="2F4E65"/>
          <w:sz w:val="22"/>
        </w:rPr>
        <w:t>Retention: 7 years.</w:t>
      </w:r>
    </w:p>
    <w:p/>
    <w:p>
      <w:r>
        <w:rPr>
          <w:rFonts w:ascii="Calibri" w:hAnsi="Calibri"/>
          <w:color w:val="8FA3B2"/>
          <w:sz w:val="18"/>
        </w:rPr>
        <w:t>Draft prepared from the 2025 Florida Statutes (flsenate.gov), the approved community prospectuses on SharePoint (Asset Management &amp; Finance / Prospectus Documents), and existing Parakeet SOPs in Operations / _Training / Standard Operating Procedures.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4E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E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4E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4E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AB136CB-24DB-4225-8272-DC514F7F9E05}"/>
</file>

<file path=customXml/itemProps3.xml><?xml version="1.0" encoding="utf-8"?>
<ds:datastoreItem xmlns:ds="http://schemas.openxmlformats.org/officeDocument/2006/customXml" ds:itemID="{718D824C-B665-43B2-870F-93718AC119F9}"/>
</file>

<file path=customXml/itemProps4.xml><?xml version="1.0" encoding="utf-8"?>
<ds:datastoreItem xmlns:ds="http://schemas.openxmlformats.org/officeDocument/2006/customXml" ds:itemID="{4B653E58-508B-482F-880F-B80BA30BB0B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