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803: Resident Notice Service &amp; Documentation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723.037, 723.061; FS 83.49, 83.56; community prospectus (Receipt of Notices section)</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serve every legal notice at Florida communities the way the statute requires and to prove it — because in court, an unproven notice is an unserved notice. This SOP is the service standard referenced by SOP 100 (Collections), 107 (Eviction), 801 (Rent Increase), 802 (Violations), 805 (Rules Changes), and 806 (Security Deposits).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legal and statutory notices served on residents of Florida communities</w:t>
      </w:r>
    </w:p>
    <w:p>
      <w:pPr>
        <w:pStyle w:val="ListBullet"/>
      </w:pPr>
      <w:r>
        <w:rPr>
          <w:rFonts w:ascii="Calibri" w:hAnsi="Calibri"/>
          <w:color w:val="2F4E65"/>
          <w:sz w:val="22"/>
        </w:rPr>
        <w:t>Community Managers and District Managers performing service</w:t>
      </w:r>
    </w:p>
    <w:p>
      <w:pPr>
        <w:pStyle w:val="ListBullet"/>
      </w:pPr>
      <w:r>
        <w:rPr>
          <w:rFonts w:ascii="Calibri" w:hAnsi="Calibri"/>
          <w:color w:val="2F4E65"/>
          <w:sz w:val="22"/>
        </w:rPr>
        <w:t>Operations Coordinator / Evictions Team generating notices</w:t>
      </w:r>
    </w:p>
    <w:p>
      <w:pPr>
        <w:pStyle w:val="ListBullet"/>
      </w:pPr>
      <w:r>
        <w:rPr>
          <w:rFonts w:ascii="Calibri" w:hAnsi="Calibri"/>
          <w:color w:val="2F4E65"/>
          <w:sz w:val="22"/>
        </w:rPr>
        <w:t>Regional Managers auditing proof of service</w:t>
      </w:r>
    </w:p>
    <w:p>
      <w:pPr>
        <w:pStyle w:val="Heading2"/>
      </w:pPr>
      <w:r>
        <w:rPr>
          <w:rFonts w:ascii="Calibri" w:hAnsi="Calibri"/>
          <w:color w:val="2F4E65"/>
          <w:sz w:val="24"/>
        </w:rPr>
        <w:t>Trigger</w:t>
      </w:r>
    </w:p>
    <w:p>
      <w:r>
        <w:rPr>
          <w:rFonts w:ascii="Calibri" w:hAnsi="Calibri"/>
          <w:b w:val="0"/>
          <w:color w:val="2F4E65"/>
          <w:sz w:val="22"/>
        </w:rPr>
        <w:t>Any SOP or event requires a notice to be served on a resident (demand, violation, increase, rules change, deposit claim, notice to vacate).</w:t>
      </w:r>
    </w:p>
    <w:p>
      <w:pPr>
        <w:pStyle w:val="Heading2"/>
      </w:pPr>
      <w:r>
        <w:rPr>
          <w:rFonts w:ascii="Calibri" w:hAnsi="Calibri"/>
          <w:color w:val="2F4E65"/>
          <w:sz w:val="24"/>
        </w:rPr>
        <w:t>Finish Line</w:t>
      </w:r>
    </w:p>
    <w:p>
      <w:r>
        <w:rPr>
          <w:rFonts w:ascii="Calibri" w:hAnsi="Calibri"/>
          <w:b w:val="0"/>
          <w:color w:val="2F4E65"/>
          <w:sz w:val="22"/>
        </w:rPr>
        <w:t>The notice is served by the statutorily required method AND proof of service is uploaded to Rent Manager History &amp; Notes and the SharePoint Legal Notices folder.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Generates notices from approved Rent Manager templates; never free-hands statutory language</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Performs service, captures proof (photos, receipts, tracking), uploads documentation same day</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Weekly audit of proof of service for every open notice in the portfolio</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Owns the template library; resolves service questions; interfaces with counsel</w:t>
            </w:r>
          </w:p>
        </w:tc>
      </w:tr>
    </w:tbl>
    <w:p>
      <w:pPr>
        <w:pStyle w:val="Heading1"/>
      </w:pPr>
      <w:r>
        <w:rPr>
          <w:rFonts w:ascii="Calibri" w:hAnsi="Calibri"/>
          <w:color w:val="2F4E65"/>
          <w:sz w:val="30"/>
        </w:rPr>
        <w:t>SERVICE STANDARDS MATRIX — WHICH NOTICE, WHICH METHOD</w:t>
      </w:r>
    </w:p>
    <w:tbl>
      <w:tblPr>
        <w:tblStyle w:val="TableGrid"/>
        <w:tblW w:type="auto" w:w="0"/>
        <w:tblLook w:firstColumn="1" w:firstRow="1" w:lastColumn="0" w:lastRow="0" w:noHBand="0" w:noVBand="1" w:val="04A0"/>
      </w:tblPr>
      <w:tblGrid>
        <w:gridCol w:w="2484"/>
        <w:gridCol w:w="2484"/>
        <w:gridCol w:w="2484"/>
        <w:gridCol w:w="2484"/>
      </w:tblGrid>
      <w:tr>
        <w:tc>
          <w:tcPr>
            <w:tcW w:type="dxa" w:w="3024"/>
            <w:shd w:val="clear" w:fill="2F4E65"/>
          </w:tcPr>
          <w:p>
            <w:r/>
            <w:r>
              <w:rPr>
                <w:rFonts w:ascii="Calibri" w:hAnsi="Calibri"/>
                <w:b/>
                <w:color w:val="FFFFFF"/>
                <w:sz w:val="20"/>
              </w:rPr>
              <w:t>Notice Type</w:t>
            </w:r>
          </w:p>
        </w:tc>
        <w:tc>
          <w:tcPr>
            <w:tcW w:type="dxa" w:w="3744"/>
            <w:shd w:val="clear" w:fill="2F4E65"/>
          </w:tcPr>
          <w:p>
            <w:r/>
            <w:r>
              <w:rPr>
                <w:rFonts w:ascii="Calibri" w:hAnsi="Calibri"/>
                <w:b/>
                <w:color w:val="FFFFFF"/>
                <w:sz w:val="20"/>
              </w:rPr>
              <w:t>Required Service Method</w:t>
            </w:r>
          </w:p>
        </w:tc>
        <w:tc>
          <w:tcPr>
            <w:tcW w:type="dxa" w:w="2016"/>
            <w:shd w:val="clear" w:fill="2F4E65"/>
          </w:tcPr>
          <w:p>
            <w:r/>
            <w:r>
              <w:rPr>
                <w:rFonts w:ascii="Calibri" w:hAnsi="Calibri"/>
                <w:b/>
                <w:color w:val="FFFFFF"/>
                <w:sz w:val="20"/>
              </w:rPr>
              <w:t>Deemed Delivered</w:t>
            </w:r>
          </w:p>
        </w:tc>
        <w:tc>
          <w:tcPr>
            <w:tcW w:type="dxa" w:w="1296"/>
            <w:shd w:val="clear" w:fill="2F4E65"/>
          </w:tcPr>
          <w:p>
            <w:r/>
            <w:r>
              <w:rPr>
                <w:rFonts w:ascii="Calibri" w:hAnsi="Calibri"/>
                <w:b/>
                <w:color w:val="FFFFFF"/>
                <w:sz w:val="20"/>
              </w:rPr>
              <w:t>Citation</w:t>
            </w:r>
          </w:p>
        </w:tc>
      </w:tr>
      <w:tr>
        <w:tc>
          <w:tcPr>
            <w:tcW w:type="dxa" w:w="3024"/>
          </w:tcPr>
          <w:p>
            <w:r/>
            <w:r>
              <w:rPr>
                <w:rFonts w:ascii="Calibri" w:hAnsi="Calibri"/>
                <w:b w:val="0"/>
                <w:color w:val="2F4E65"/>
                <w:sz w:val="20"/>
              </w:rPr>
              <w:t>Ch. 723 eviction-path notices (nonpayment demand, violation notice, notice to vacate) — lot tenants</w:t>
            </w:r>
          </w:p>
        </w:tc>
        <w:tc>
          <w:tcPr>
            <w:tcW w:type="dxa" w:w="3744"/>
          </w:tcPr>
          <w:p>
            <w:r/>
            <w:r>
              <w:rPr>
                <w:rFonts w:ascii="Calibri" w:hAnsi="Calibri"/>
                <w:b w:val="0"/>
                <w:color w:val="2F4E65"/>
                <w:sz w:val="20"/>
              </w:rPr>
              <w:t>POST on the premises AND send certified or registered mail, return receipt requested. Both. Not either.</w:t>
            </w:r>
          </w:p>
        </w:tc>
        <w:tc>
          <w:tcPr>
            <w:tcW w:type="dxa" w:w="2016"/>
          </w:tcPr>
          <w:p>
            <w:r/>
            <w:r>
              <w:rPr>
                <w:rFonts w:ascii="Calibri" w:hAnsi="Calibri"/>
                <w:b w:val="0"/>
                <w:color w:val="2F4E65"/>
                <w:sz w:val="20"/>
              </w:rPr>
              <w:t>Mailed copy deemed given 5 days after postmark</w:t>
            </w:r>
          </w:p>
        </w:tc>
        <w:tc>
          <w:tcPr>
            <w:tcW w:type="dxa" w:w="1296"/>
          </w:tcPr>
          <w:p>
            <w:r/>
            <w:r>
              <w:rPr>
                <w:rFonts w:ascii="Calibri" w:hAnsi="Calibri"/>
                <w:b w:val="0"/>
                <w:color w:val="2F4E65"/>
                <w:sz w:val="20"/>
              </w:rPr>
              <w:t>FS 723.061</w:t>
            </w:r>
          </w:p>
        </w:tc>
      </w:tr>
      <w:tr>
        <w:tc>
          <w:tcPr>
            <w:tcW w:type="dxa" w:w="3024"/>
            <w:shd w:val="clear" w:fill="F5F7F8"/>
          </w:tcPr>
          <w:p>
            <w:r/>
            <w:r>
              <w:rPr>
                <w:rFonts w:ascii="Calibri" w:hAnsi="Calibri"/>
                <w:b w:val="0"/>
                <w:color w:val="2F4E65"/>
                <w:sz w:val="20"/>
              </w:rPr>
              <w:t>90-day notices (lot rental increase, rules change, service reduction)</w:t>
            </w:r>
          </w:p>
        </w:tc>
        <w:tc>
          <w:tcPr>
            <w:tcW w:type="dxa" w:w="3744"/>
            <w:shd w:val="clear" w:fill="F5F7F8"/>
          </w:tcPr>
          <w:p>
            <w:r/>
            <w:r>
              <w:rPr>
                <w:rFonts w:ascii="Calibri" w:hAnsi="Calibri"/>
                <w:b w:val="0"/>
                <w:color w:val="2F4E65"/>
                <w:sz w:val="20"/>
              </w:rPr>
              <w:t>Written notice to every affected homeowner + homeowners' association board; method per prospectus; certificate of mailing recommended</w:t>
            </w:r>
          </w:p>
        </w:tc>
        <w:tc>
          <w:tcPr>
            <w:tcW w:type="dxa" w:w="2016"/>
            <w:shd w:val="clear" w:fill="F5F7F8"/>
          </w:tcPr>
          <w:p>
            <w:r/>
            <w:r>
              <w:rPr>
                <w:rFonts w:ascii="Calibri" w:hAnsi="Calibri"/>
                <w:b w:val="0"/>
                <w:color w:val="2F4E65"/>
                <w:sz w:val="20"/>
              </w:rPr>
              <w:t>Per delivery method</w:t>
            </w:r>
          </w:p>
        </w:tc>
        <w:tc>
          <w:tcPr>
            <w:tcW w:type="dxa" w:w="1296"/>
            <w:shd w:val="clear" w:fill="F5F7F8"/>
          </w:tcPr>
          <w:p>
            <w:r/>
            <w:r>
              <w:rPr>
                <w:rFonts w:ascii="Calibri" w:hAnsi="Calibri"/>
                <w:b w:val="0"/>
                <w:color w:val="2F4E65"/>
                <w:sz w:val="20"/>
              </w:rPr>
              <w:t>FS 723.037(1)</w:t>
            </w:r>
          </w:p>
        </w:tc>
      </w:tr>
      <w:tr>
        <w:tc>
          <w:tcPr>
            <w:tcW w:type="dxa" w:w="3024"/>
          </w:tcPr>
          <w:p>
            <w:r/>
            <w:r>
              <w:rPr>
                <w:rFonts w:ascii="Calibri" w:hAnsi="Calibri"/>
                <w:b w:val="0"/>
                <w:color w:val="2F4E65"/>
                <w:sz w:val="20"/>
              </w:rPr>
              <w:t>Prospectus delivery (new lot tenancy)</w:t>
            </w:r>
          </w:p>
        </w:tc>
        <w:tc>
          <w:tcPr>
            <w:tcW w:type="dxa" w:w="3744"/>
          </w:tcPr>
          <w:p>
            <w:r/>
            <w:r>
              <w:rPr>
                <w:rFonts w:ascii="Calibri" w:hAnsi="Calibri"/>
                <w:b w:val="0"/>
                <w:color w:val="2F4E65"/>
                <w:sz w:val="20"/>
              </w:rPr>
              <w:t>Physical or documented electronic delivery BEFORE lease signing or occupancy; signed receipt required</w:t>
            </w:r>
          </w:p>
        </w:tc>
        <w:tc>
          <w:tcPr>
            <w:tcW w:type="dxa" w:w="2016"/>
          </w:tcPr>
          <w:p>
            <w:r/>
            <w:r>
              <w:rPr>
                <w:rFonts w:ascii="Calibri" w:hAnsi="Calibri"/>
                <w:b w:val="0"/>
                <w:color w:val="2F4E65"/>
                <w:sz w:val="20"/>
              </w:rPr>
              <w:t>On signed receipt</w:t>
            </w:r>
          </w:p>
        </w:tc>
        <w:tc>
          <w:tcPr>
            <w:tcW w:type="dxa" w:w="1296"/>
          </w:tcPr>
          <w:p>
            <w:r/>
            <w:r>
              <w:rPr>
                <w:rFonts w:ascii="Calibri" w:hAnsi="Calibri"/>
                <w:b w:val="0"/>
                <w:color w:val="2F4E65"/>
                <w:sz w:val="20"/>
              </w:rPr>
              <w:t>FS 723.011</w:t>
            </w:r>
          </w:p>
        </w:tc>
      </w:tr>
      <w:tr>
        <w:tc>
          <w:tcPr>
            <w:tcW w:type="dxa" w:w="3024"/>
            <w:shd w:val="clear" w:fill="F5F7F8"/>
          </w:tcPr>
          <w:p>
            <w:r/>
            <w:r>
              <w:rPr>
                <w:rFonts w:ascii="Calibri" w:hAnsi="Calibri"/>
                <w:b w:val="0"/>
                <w:color w:val="2F4E65"/>
                <w:sz w:val="20"/>
              </w:rPr>
              <w:t>Ch. 83 notices (park-owned home renters: 3-day, 7-day)</w:t>
            </w:r>
          </w:p>
        </w:tc>
        <w:tc>
          <w:tcPr>
            <w:tcW w:type="dxa" w:w="3744"/>
            <w:shd w:val="clear" w:fill="F5F7F8"/>
          </w:tcPr>
          <w:p>
            <w:r/>
            <w:r>
              <w:rPr>
                <w:rFonts w:ascii="Calibri" w:hAnsi="Calibri"/>
                <w:b w:val="0"/>
                <w:color w:val="2F4E65"/>
                <w:sz w:val="20"/>
              </w:rPr>
              <w:t>Mail, hand delivery, or posting at the premises if the tenant is absent</w:t>
            </w:r>
          </w:p>
        </w:tc>
        <w:tc>
          <w:tcPr>
            <w:tcW w:type="dxa" w:w="2016"/>
            <w:shd w:val="clear" w:fill="F5F7F8"/>
          </w:tcPr>
          <w:p>
            <w:r/>
            <w:r>
              <w:rPr>
                <w:rFonts w:ascii="Calibri" w:hAnsi="Calibri"/>
                <w:b w:val="0"/>
                <w:color w:val="2F4E65"/>
                <w:sz w:val="20"/>
              </w:rPr>
              <w:t>Mailing adds time per lease/statute — calendar conservatively</w:t>
            </w:r>
          </w:p>
        </w:tc>
        <w:tc>
          <w:tcPr>
            <w:tcW w:type="dxa" w:w="1296"/>
            <w:shd w:val="clear" w:fill="F5F7F8"/>
          </w:tcPr>
          <w:p>
            <w:r/>
            <w:r>
              <w:rPr>
                <w:rFonts w:ascii="Calibri" w:hAnsi="Calibri"/>
                <w:b w:val="0"/>
                <w:color w:val="2F4E65"/>
                <w:sz w:val="20"/>
              </w:rPr>
              <w:t>FS 83.56(4)</w:t>
            </w:r>
          </w:p>
        </w:tc>
      </w:tr>
      <w:tr>
        <w:tc>
          <w:tcPr>
            <w:tcW w:type="dxa" w:w="3024"/>
          </w:tcPr>
          <w:p>
            <w:r/>
            <w:r>
              <w:rPr>
                <w:rFonts w:ascii="Calibri" w:hAnsi="Calibri"/>
                <w:b w:val="0"/>
                <w:color w:val="2F4E65"/>
                <w:sz w:val="20"/>
              </w:rPr>
              <w:t>Security deposit claim notice</w:t>
            </w:r>
          </w:p>
        </w:tc>
        <w:tc>
          <w:tcPr>
            <w:tcW w:type="dxa" w:w="3744"/>
          </w:tcPr>
          <w:p>
            <w:r/>
            <w:r>
              <w:rPr>
                <w:rFonts w:ascii="Calibri" w:hAnsi="Calibri"/>
                <w:b w:val="0"/>
                <w:color w:val="2F4E65"/>
                <w:sz w:val="20"/>
              </w:rPr>
              <w:t>Certified mail to the tenant's last known mailing address within 30 days of lease termination</w:t>
            </w:r>
          </w:p>
        </w:tc>
        <w:tc>
          <w:tcPr>
            <w:tcW w:type="dxa" w:w="2016"/>
          </w:tcPr>
          <w:p>
            <w:r/>
            <w:r>
              <w:rPr>
                <w:rFonts w:ascii="Calibri" w:hAnsi="Calibri"/>
                <w:b w:val="0"/>
                <w:color w:val="2F4E65"/>
                <w:sz w:val="20"/>
              </w:rPr>
              <w:t>On mailing</w:t>
            </w:r>
          </w:p>
        </w:tc>
        <w:tc>
          <w:tcPr>
            <w:tcW w:type="dxa" w:w="1296"/>
          </w:tcPr>
          <w:p>
            <w:r/>
            <w:r>
              <w:rPr>
                <w:rFonts w:ascii="Calibri" w:hAnsi="Calibri"/>
                <w:b w:val="0"/>
                <w:color w:val="2F4E65"/>
                <w:sz w:val="20"/>
              </w:rPr>
              <w:t>FS 83.49(3)(a)</w:t>
            </w:r>
          </w:p>
        </w:tc>
      </w:tr>
    </w:tbl>
    <w:p>
      <w:pPr>
        <w:pStyle w:val="Heading1"/>
      </w:pPr>
      <w:r>
        <w:rPr>
          <w:rFonts w:ascii="Calibri" w:hAnsi="Calibri"/>
          <w:color w:val="2F4E65"/>
          <w:sz w:val="30"/>
        </w:rPr>
        <w:t>THE FIVE-DAY MAILBOX RULE</w:t>
      </w:r>
    </w:p>
    <w:p>
      <w:r>
        <w:rPr>
          <w:rFonts w:ascii="Calibri" w:hAnsi="Calibri"/>
          <w:b w:val="0"/>
          <w:color w:val="2F4E65"/>
          <w:sz w:val="22"/>
        </w:rPr>
        <w:t>For Chapter 723 notices, a mailed notice is deemed delivered 5 days after the postmark. Every cure period and deadline runs from DELIVERY, not mailing. A "5-day demand" served only by mail is actually a 10-day timeline. Build the 5 days into every calendar entry. When posting and mailing happen on different days, calculate from whichever produces the LATER deadline.</w:t>
      </w:r>
    </w:p>
    <w:p>
      <w:pPr>
        <w:pStyle w:val="Heading1"/>
      </w:pPr>
      <w:r>
        <w:rPr>
          <w:rFonts w:ascii="Calibri" w:hAnsi="Calibri"/>
          <w:color w:val="2F4E65"/>
          <w:sz w:val="30"/>
        </w:rPr>
        <w:t>PROCEDURE — EVERY NOTICE, EVERY TIME</w:t>
      </w:r>
    </w:p>
    <w:p>
      <w:pPr>
        <w:pStyle w:val="ListNumber"/>
      </w:pPr>
      <w:r>
        <w:rPr>
          <w:rFonts w:ascii="Calibri" w:hAnsi="Calibri"/>
          <w:color w:val="2F4E65"/>
          <w:sz w:val="22"/>
        </w:rPr>
        <w:t>Operations Coordinator — generates the notice from the approved Rent Manager template. Verify: resident LEGAL name (match the lease/title, not the nickname), correct lot number, correct amounts and dates, correct statutory form for the track (see SOP 802 for 723 vs 83 classification).</w:t>
      </w:r>
    </w:p>
    <w:p>
      <w:pPr>
        <w:pStyle w:val="ListNumber"/>
      </w:pPr>
      <w:r>
        <w:rPr>
          <w:rFonts w:ascii="Calibri" w:hAnsi="Calibri"/>
          <w:color w:val="2F4E65"/>
          <w:sz w:val="22"/>
        </w:rPr>
        <w:t>Regional Manager — approves the notice before service (required for violation, vacate, increase, and deposit-claim notices; demand notices follow the SOP 107 review flow).</w:t>
      </w:r>
    </w:p>
    <w:p>
      <w:pPr>
        <w:pStyle w:val="ListNumber"/>
      </w:pPr>
      <w:r>
        <w:rPr>
          <w:rFonts w:ascii="Calibri" w:hAnsi="Calibri"/>
          <w:color w:val="2F4E65"/>
          <w:sz w:val="22"/>
        </w:rPr>
        <w:t>Community Manager — serves by the required method from the matrix above. For post-and-mail notices: photograph the posted notice ON the door with a visible date/time stamp, and keep the certified mail receipt and tracking number.</w:t>
      </w:r>
    </w:p>
    <w:p>
      <w:pPr>
        <w:pStyle w:val="ListNumber"/>
      </w:pPr>
      <w:r>
        <w:rPr>
          <w:rFonts w:ascii="Calibri" w:hAnsi="Calibri"/>
          <w:color w:val="2F4E65"/>
          <w:sz w:val="22"/>
        </w:rPr>
        <w:t>Community Manager — SAME DAY: uploads to Rent Manager History &amp; Notes: (a) the notice PDF, (b) the posting photo, (c) the certified/registered mail receipt, (d) a note with service date, time, and method. File naming: [YYYY-MM-DD] [Notice Type] [Lot] [Resident].</w:t>
      </w:r>
    </w:p>
    <w:p>
      <w:pPr>
        <w:pStyle w:val="ListNumber"/>
      </w:pPr>
      <w:r>
        <w:rPr>
          <w:rFonts w:ascii="Calibri" w:hAnsi="Calibri"/>
          <w:color w:val="2F4E65"/>
          <w:sz w:val="22"/>
        </w:rPr>
        <w:t>Community Manager — files the same package to the community's Legal Notices folder on SharePoint (Operations &gt; _Legal Notices).</w:t>
      </w:r>
    </w:p>
    <w:p>
      <w:pPr>
        <w:pStyle w:val="ListNumber"/>
      </w:pPr>
      <w:r>
        <w:rPr>
          <w:rFonts w:ascii="Calibri" w:hAnsi="Calibri"/>
          <w:color w:val="2F4E65"/>
          <w:sz w:val="22"/>
        </w:rPr>
        <w:t>Community Manager — calendars the response/cure deadline including the 5-day mailbox rule and sets a Rent Manager reminder.</w:t>
      </w:r>
    </w:p>
    <w:p>
      <w:pPr>
        <w:pStyle w:val="ListNumber"/>
      </w:pPr>
      <w:r>
        <w:rPr>
          <w:rFonts w:ascii="Calibri" w:hAnsi="Calibri"/>
          <w:color w:val="2F4E65"/>
          <w:sz w:val="22"/>
        </w:rPr>
        <w:t>When the return receipt (green card / electronic RRR) comes back: upload it to the same History &amp; Notes thread. If mail is returned undelivered, DO NOT discard — photograph the unopened envelope and upload; notify the Regional Manager.</w:t>
      </w:r>
    </w:p>
    <w:p>
      <w:pPr>
        <w:pStyle w:val="ListNumber"/>
      </w:pPr>
      <w:r>
        <w:rPr>
          <w:rFonts w:ascii="Calibri" w:hAnsi="Calibri"/>
          <w:color w:val="2F4E65"/>
          <w:sz w:val="22"/>
        </w:rPr>
        <w:t>Regional Manager — weekly: audits every open notice in the portfolio for complete proof of service; incomplete files are re-served correctly before any escalation.</w:t>
      </w:r>
    </w:p>
    <w:p>
      <w:pPr>
        <w:pStyle w:val="Heading1"/>
      </w:pPr>
      <w:r>
        <w:rPr>
          <w:rFonts w:ascii="Calibri" w:hAnsi="Calibri"/>
          <w:color w:val="2F4E65"/>
          <w:sz w:val="30"/>
        </w:rPr>
        <w:t>PROHIBITED SHORTCUTS</w:t>
      </w:r>
    </w:p>
    <w:p>
      <w:pPr>
        <w:pStyle w:val="ListBullet"/>
      </w:pPr>
      <w:r>
        <w:rPr>
          <w:rFonts w:ascii="Calibri" w:hAnsi="Calibri"/>
          <w:color w:val="2F4E65"/>
          <w:sz w:val="22"/>
        </w:rPr>
        <w:t>Never serve a statutory notice by text message, email, or door knock alone unless the statute or lease explicitly allows it for that notice type.</w:t>
      </w:r>
    </w:p>
    <w:p>
      <w:pPr>
        <w:pStyle w:val="ListBullet"/>
      </w:pPr>
      <w:r>
        <w:rPr>
          <w:rFonts w:ascii="Calibri" w:hAnsi="Calibri"/>
          <w:color w:val="2F4E65"/>
          <w:sz w:val="22"/>
        </w:rPr>
        <w:t>Never backdate, predate, or "re-print" a notice. The date on the notice, the posting photo, and the postmark must agree.</w:t>
      </w:r>
    </w:p>
    <w:p>
      <w:pPr>
        <w:pStyle w:val="ListBullet"/>
      </w:pPr>
      <w:r>
        <w:rPr>
          <w:rFonts w:ascii="Calibri" w:hAnsi="Calibri"/>
          <w:color w:val="2F4E65"/>
          <w:sz w:val="22"/>
        </w:rPr>
        <w:t>Never let a third party (maintenance, vendor, another resident) perform service.</w:t>
      </w:r>
    </w:p>
    <w:p>
      <w:pPr>
        <w:pStyle w:val="ListBullet"/>
      </w:pPr>
      <w:r>
        <w:rPr>
          <w:rFonts w:ascii="Calibri" w:hAnsi="Calibri"/>
          <w:color w:val="2F4E65"/>
          <w:sz w:val="22"/>
        </w:rPr>
        <w:t>Never start an eviction, late fee, or enforcement action on a notice whose proof of service is incomplete.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Proof package per notice: notice PDF + posting photo + mail receipt + return receipt + History &amp; Notes entry.</w:t>
      </w:r>
    </w:p>
    <w:p>
      <w:pPr>
        <w:pStyle w:val="ListBullet"/>
      </w:pPr>
      <w:r>
        <w:rPr>
          <w:rFonts w:ascii="Calibri" w:hAnsi="Calibri"/>
          <w:color w:val="2F4E65"/>
          <w:sz w:val="22"/>
        </w:rPr>
        <w:t>Retention: 7 years, or the life of any litigation, whichever is longer.</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2DBB21-2AB4-4FF7-BDF9-672095D1061E}"/>
</file>

<file path=customXml/itemProps3.xml><?xml version="1.0" encoding="utf-8"?>
<ds:datastoreItem xmlns:ds="http://schemas.openxmlformats.org/officeDocument/2006/customXml" ds:itemID="{ED07289E-18EB-499F-837C-8EB4A51EFF99}"/>
</file>

<file path=customXml/itemProps4.xml><?xml version="1.0" encoding="utf-8"?>
<ds:datastoreItem xmlns:ds="http://schemas.openxmlformats.org/officeDocument/2006/customXml" ds:itemID="{988A9963-922E-4CFD-8BD1-7AAD860359D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