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804: Prospectus Delivery, Tracking &amp; Remediation (FL)</w:t>
      </w:r>
    </w:p>
    <w:p>
      <w:r>
        <w:rPr>
          <w:rFonts w:ascii="Calibri" w:hAnsi="Calibri"/>
          <w:b/>
          <w:color w:val="4ABA81"/>
          <w:sz w:val="26"/>
        </w:rPr>
        <w:t>Parakeet Communities  ·  Florida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Community Managers, Regional Managers, Sales, Legal / Compliance, Asset Management</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FLORIDA communities only (Georgia and South Carolina versions to follow)</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FS 723.011, 723.012, 723.014, 723.031; DBPR Division of Florida Condominiums, Timeshares, and Mobile Homes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2025 Florida Statutes and community prospectuses</w:t>
            </w:r>
          </w:p>
        </w:tc>
      </w:tr>
    </w:tbl>
    <w:p/>
    <w:p>
      <w:r>
        <w:rPr>
          <w:rFonts w:ascii="Calibri" w:hAnsi="Calibri"/>
          <w:b/>
          <w:color w:val="F16262"/>
          <w:sz w:val="18"/>
        </w:rPr>
        <w:t>LEGAL REVIEW REQUIRED: This SOP restates statutory timelines from Chapters 723 and 83, Florida Statutes (2025), and Parakeet prospectuses. Florida counsel must review and approve before rollout. Where a community prospectus is more restrictive than statute, the prospectus controls.</w:t>
      </w:r>
    </w:p>
    <w:p>
      <w:pPr>
        <w:pStyle w:val="Heading1"/>
      </w:pPr>
      <w:r>
        <w:rPr>
          <w:rFonts w:ascii="Calibri" w:hAnsi="Calibri"/>
          <w:color w:val="2F4E65"/>
          <w:sz w:val="30"/>
        </w:rPr>
        <w:t>PURPOSE</w:t>
      </w:r>
    </w:p>
    <w:p>
      <w:r>
        <w:rPr>
          <w:rFonts w:ascii="Calibri" w:hAnsi="Calibri"/>
          <w:b w:val="0"/>
          <w:color w:val="2F4E65"/>
          <w:sz w:val="22"/>
        </w:rPr>
        <w:t>To guarantee that every new Florida lot tenancy starts with delivery of the approved prospectus — because without it the rental agreement is unenforceable, the resident holds a 15-day right to void, and prospectus-based rent increases and pass-throughs collapse. This SOP also governs tracking, audits, and remediation for communities with no approved prospectus on file.</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Florida manufactured housing communities with 26 or more lots (FS 723.011 — parks under 26 lots are exempt from the prospectus requirement but not from Chapter 723)</w:t>
      </w:r>
    </w:p>
    <w:p>
      <w:pPr>
        <w:pStyle w:val="ListBullet"/>
      </w:pPr>
      <w:r>
        <w:rPr>
          <w:rFonts w:ascii="Calibri" w:hAnsi="Calibri"/>
          <w:color w:val="2F4E65"/>
          <w:sz w:val="22"/>
        </w:rPr>
        <w:t>Every new lot tenancy, tenancy assumption, and home sale that creates a new lot rental agreement</w:t>
      </w:r>
    </w:p>
    <w:p>
      <w:pPr>
        <w:pStyle w:val="ListBullet"/>
      </w:pPr>
      <w:r>
        <w:rPr>
          <w:rFonts w:ascii="Calibri" w:hAnsi="Calibri"/>
          <w:color w:val="2F4E65"/>
          <w:sz w:val="22"/>
        </w:rPr>
        <w:t>RV parks are Chapter 513 — no prospectus applies; route questions to Legal / Compliance</w:t>
      </w:r>
    </w:p>
    <w:p>
      <w:pPr>
        <w:pStyle w:val="ListBullet"/>
      </w:pPr>
      <w:r>
        <w:rPr>
          <w:rFonts w:ascii="Calibri" w:hAnsi="Calibri"/>
          <w:color w:val="2F4E65"/>
          <w:sz w:val="22"/>
        </w:rPr>
        <w:t>The consolidated version matrix: SharePoint &gt; Asset Management &amp; Finance &gt; Prospectus Documents &gt; _Prospectus - FL Consolidated &gt; Prospectus - FL Communities.xlsx</w:t>
      </w:r>
    </w:p>
    <w:p>
      <w:pPr>
        <w:pStyle w:val="Heading2"/>
      </w:pPr>
      <w:r>
        <w:rPr>
          <w:rFonts w:ascii="Calibri" w:hAnsi="Calibri"/>
          <w:color w:val="2F4E65"/>
          <w:sz w:val="24"/>
        </w:rPr>
        <w:t>Trigger</w:t>
      </w:r>
    </w:p>
    <w:p>
      <w:r>
        <w:rPr>
          <w:rFonts w:ascii="Calibri" w:hAnsi="Calibri"/>
          <w:b w:val="0"/>
          <w:color w:val="2F4E65"/>
          <w:sz w:val="22"/>
        </w:rPr>
        <w:t>A prospective resident applies for a lot tenancy, purchases a home in the community, or assumes an existing lot rental agreement.</w:t>
      </w:r>
    </w:p>
    <w:p>
      <w:pPr>
        <w:pStyle w:val="Heading2"/>
      </w:pPr>
      <w:r>
        <w:rPr>
          <w:rFonts w:ascii="Calibri" w:hAnsi="Calibri"/>
          <w:color w:val="2F4E65"/>
          <w:sz w:val="24"/>
        </w:rPr>
        <w:t>Finish Line</w:t>
      </w:r>
    </w:p>
    <w:p>
      <w:r>
        <w:rPr>
          <w:rFonts w:ascii="Calibri" w:hAnsi="Calibri"/>
          <w:b w:val="0"/>
          <w:color w:val="2F4E65"/>
          <w:sz w:val="22"/>
        </w:rPr>
        <w:t>The correct approved prospectus version (with all exhibits) is delivered and receipted BEFORE lease execution or occupancy, the signed receipt is in Rent Manager, and the quarterly audit shows 100% coverage.</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Delivers the prospectus package before lease signing; obtains signed receipt; uploads to Rent Manager; blocks move-in until complete</w:t>
            </w:r>
          </w:p>
        </w:tc>
      </w:tr>
      <w:tr>
        <w:tc>
          <w:tcPr>
            <w:tcW w:type="dxa" w:w="3168"/>
            <w:shd w:val="clear" w:fill="F5F7F8"/>
          </w:tcPr>
          <w:p>
            <w:r/>
            <w:r>
              <w:rPr>
                <w:rFonts w:ascii="Calibri" w:hAnsi="Calibri"/>
                <w:b w:val="0"/>
                <w:color w:val="2F4E65"/>
                <w:sz w:val="20"/>
              </w:rPr>
              <w:t>Sales</w:t>
            </w:r>
          </w:p>
        </w:tc>
        <w:tc>
          <w:tcPr>
            <w:tcW w:type="dxa" w:w="6768"/>
            <w:shd w:val="clear" w:fill="F5F7F8"/>
          </w:tcPr>
          <w:p>
            <w:r/>
            <w:r>
              <w:rPr>
                <w:rFonts w:ascii="Calibri" w:hAnsi="Calibri"/>
                <w:b w:val="0"/>
                <w:color w:val="2F4E65"/>
                <w:sz w:val="20"/>
              </w:rPr>
              <w:t>Builds prospectus delivery into the home sale timeline (delivery happens with the application/approval, never at closing)</w:t>
            </w:r>
          </w:p>
        </w:tc>
      </w:tr>
      <w:tr>
        <w:tc>
          <w:tcPr>
            <w:tcW w:type="dxa" w:w="3168"/>
          </w:tcPr>
          <w:p>
            <w:r/>
            <w:r>
              <w:rPr>
                <w:rFonts w:ascii="Calibri" w:hAnsi="Calibri"/>
                <w:b w:val="0"/>
                <w:color w:val="2F4E65"/>
                <w:sz w:val="20"/>
              </w:rPr>
              <w:t>Regional Manager</w:t>
            </w:r>
          </w:p>
        </w:tc>
        <w:tc>
          <w:tcPr>
            <w:tcW w:type="dxa" w:w="6768"/>
          </w:tcPr>
          <w:p>
            <w:r/>
            <w:r>
              <w:rPr>
                <w:rFonts w:ascii="Calibri" w:hAnsi="Calibri"/>
                <w:b w:val="0"/>
                <w:color w:val="2F4E65"/>
                <w:sz w:val="20"/>
              </w:rPr>
              <w:t>Quarterly audit: every new tenancy vs. signed receipts; owns the community's prospectus inventory (correct version on site)</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Files new/amended prospectuses with the Division; owns the remediation plan for no-prospectus communities; maintains the version matrix with Asset Management</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Maintains the FL Consolidated matrix; flags acquisitions arriving without an approved prospectus (feeds the Due Diligence SOP)</w:t>
            </w:r>
          </w:p>
        </w:tc>
      </w:tr>
    </w:tbl>
    <w:p>
      <w:pPr>
        <w:pStyle w:val="Heading1"/>
      </w:pPr>
      <w:r>
        <w:rPr>
          <w:rFonts w:ascii="Calibri" w:hAnsi="Calibri"/>
          <w:color w:val="2F4E65"/>
          <w:sz w:val="30"/>
        </w:rPr>
        <w:t>FLORIDA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Delivery timing</w:t>
            </w:r>
          </w:p>
        </w:tc>
        <w:tc>
          <w:tcPr>
            <w:tcW w:type="dxa" w:w="3888"/>
          </w:tcPr>
          <w:p>
            <w:r/>
            <w:r>
              <w:rPr>
                <w:rFonts w:ascii="Calibri" w:hAnsi="Calibri"/>
                <w:b w:val="0"/>
                <w:color w:val="2F4E65"/>
                <w:sz w:val="20"/>
              </w:rPr>
              <w:t>Deliver the Division-approved prospectus BEFORE the enforceable rental agreement — prior to execution or occupancy, whichever comes first</w:t>
            </w:r>
          </w:p>
        </w:tc>
        <w:tc>
          <w:tcPr>
            <w:tcW w:type="dxa" w:w="2160"/>
          </w:tcPr>
          <w:p>
            <w:r/>
            <w:r>
              <w:rPr>
                <w:rFonts w:ascii="Calibri" w:hAnsi="Calibri"/>
                <w:b w:val="0"/>
                <w:color w:val="2F4E65"/>
                <w:sz w:val="20"/>
              </w:rPr>
              <w:t>FS 723.011</w:t>
            </w:r>
          </w:p>
        </w:tc>
      </w:tr>
      <w:tr>
        <w:tc>
          <w:tcPr>
            <w:tcW w:type="dxa" w:w="3888"/>
            <w:shd w:val="clear" w:fill="F5F7F8"/>
          </w:tcPr>
          <w:p>
            <w:r/>
            <w:r>
              <w:rPr>
                <w:rFonts w:ascii="Calibri" w:hAnsi="Calibri"/>
                <w:b w:val="0"/>
                <w:color w:val="2F4E65"/>
                <w:sz w:val="20"/>
              </w:rPr>
              <w:t>Resident void right</w:t>
            </w:r>
          </w:p>
        </w:tc>
        <w:tc>
          <w:tcPr>
            <w:tcW w:type="dxa" w:w="3888"/>
            <w:shd w:val="clear" w:fill="F5F7F8"/>
          </w:tcPr>
          <w:p>
            <w:r/>
            <w:r>
              <w:rPr>
                <w:rFonts w:ascii="Calibri" w:hAnsi="Calibri"/>
                <w:b w:val="0"/>
                <w:color w:val="2F4E65"/>
                <w:sz w:val="20"/>
              </w:rPr>
              <w:t>After delivery, the lot rental agreement is voidable by the lessee for 15 days</w:t>
            </w:r>
          </w:p>
        </w:tc>
        <w:tc>
          <w:tcPr>
            <w:tcW w:type="dxa" w:w="2160"/>
            <w:shd w:val="clear" w:fill="F5F7F8"/>
          </w:tcPr>
          <w:p>
            <w:r/>
            <w:r>
              <w:rPr>
                <w:rFonts w:ascii="Calibri" w:hAnsi="Calibri"/>
                <w:b w:val="0"/>
                <w:color w:val="2F4E65"/>
                <w:sz w:val="20"/>
              </w:rPr>
              <w:t>FS 723.011</w:t>
            </w:r>
          </w:p>
        </w:tc>
      </w:tr>
      <w:tr>
        <w:tc>
          <w:tcPr>
            <w:tcW w:type="dxa" w:w="3888"/>
          </w:tcPr>
          <w:p>
            <w:r/>
            <w:r>
              <w:rPr>
                <w:rFonts w:ascii="Calibri" w:hAnsi="Calibri"/>
                <w:b w:val="0"/>
                <w:color w:val="2F4E65"/>
                <w:sz w:val="20"/>
              </w:rPr>
              <w:t>Renewals</w:t>
            </w:r>
          </w:p>
        </w:tc>
        <w:tc>
          <w:tcPr>
            <w:tcW w:type="dxa" w:w="3888"/>
          </w:tcPr>
          <w:p>
            <w:r/>
            <w:r>
              <w:rPr>
                <w:rFonts w:ascii="Calibri" w:hAnsi="Calibri"/>
                <w:b w:val="0"/>
                <w:color w:val="2F4E65"/>
                <w:sz w:val="20"/>
              </w:rPr>
              <w:t>No new delivery required if the homeowner previously received the prospectus (document the original receipt)</w:t>
            </w:r>
          </w:p>
        </w:tc>
        <w:tc>
          <w:tcPr>
            <w:tcW w:type="dxa" w:w="2160"/>
          </w:tcPr>
          <w:p>
            <w:r/>
            <w:r>
              <w:rPr>
                <w:rFonts w:ascii="Calibri" w:hAnsi="Calibri"/>
                <w:b w:val="0"/>
                <w:color w:val="2F4E65"/>
                <w:sz w:val="20"/>
              </w:rPr>
              <w:t>FS 723.011</w:t>
            </w:r>
          </w:p>
        </w:tc>
      </w:tr>
      <w:tr>
        <w:tc>
          <w:tcPr>
            <w:tcW w:type="dxa" w:w="3888"/>
            <w:shd w:val="clear" w:fill="F5F7F8"/>
          </w:tcPr>
          <w:p>
            <w:r/>
            <w:r>
              <w:rPr>
                <w:rFonts w:ascii="Calibri" w:hAnsi="Calibri"/>
                <w:b w:val="0"/>
                <w:color w:val="2F4E65"/>
                <w:sz w:val="20"/>
              </w:rPr>
              <w:t>Division filing</w:t>
            </w:r>
          </w:p>
        </w:tc>
        <w:tc>
          <w:tcPr>
            <w:tcW w:type="dxa" w:w="3888"/>
            <w:shd w:val="clear" w:fill="F5F7F8"/>
          </w:tcPr>
          <w:p>
            <w:r/>
            <w:r>
              <w:rPr>
                <w:rFonts w:ascii="Calibri" w:hAnsi="Calibri"/>
                <w:b w:val="0"/>
                <w:color w:val="2F4E65"/>
                <w:sz w:val="20"/>
              </w:rPr>
              <w:t>Parks with 26+ lots file with the Division; the Division has 45 days to review; silence = deemed adequate</w:t>
            </w:r>
          </w:p>
        </w:tc>
        <w:tc>
          <w:tcPr>
            <w:tcW w:type="dxa" w:w="2160"/>
            <w:shd w:val="clear" w:fill="F5F7F8"/>
          </w:tcPr>
          <w:p>
            <w:r/>
            <w:r>
              <w:rPr>
                <w:rFonts w:ascii="Calibri" w:hAnsi="Calibri"/>
                <w:b w:val="0"/>
                <w:color w:val="2F4E65"/>
                <w:sz w:val="20"/>
              </w:rPr>
              <w:t>FS 723.011</w:t>
            </w:r>
          </w:p>
        </w:tc>
      </w:tr>
      <w:tr>
        <w:tc>
          <w:tcPr>
            <w:tcW w:type="dxa" w:w="3888"/>
          </w:tcPr>
          <w:p>
            <w:r/>
            <w:r>
              <w:rPr>
                <w:rFonts w:ascii="Calibri" w:hAnsi="Calibri"/>
                <w:b w:val="0"/>
                <w:color w:val="2F4E65"/>
                <w:sz w:val="20"/>
              </w:rPr>
              <w:t>Amendments</w:t>
            </w:r>
          </w:p>
        </w:tc>
        <w:tc>
          <w:tcPr>
            <w:tcW w:type="dxa" w:w="3888"/>
          </w:tcPr>
          <w:p>
            <w:r/>
            <w:r>
              <w:rPr>
                <w:rFonts w:ascii="Calibri" w:hAnsi="Calibri"/>
                <w:b w:val="0"/>
                <w:color w:val="2F4E65"/>
                <w:sz w:val="20"/>
              </w:rPr>
              <w:t>Prospectus amendments follow Division filing requirements; rules changes also trigger the 90-day notice under 723.037 (see SOP 805)</w:t>
            </w:r>
          </w:p>
        </w:tc>
        <w:tc>
          <w:tcPr>
            <w:tcW w:type="dxa" w:w="2160"/>
          </w:tcPr>
          <w:p>
            <w:r/>
            <w:r>
              <w:rPr>
                <w:rFonts w:ascii="Calibri" w:hAnsi="Calibri"/>
                <w:b w:val="0"/>
                <w:color w:val="2F4E65"/>
                <w:sz w:val="20"/>
              </w:rPr>
              <w:t>FS 723.012, 723.037</w:t>
            </w:r>
          </w:p>
        </w:tc>
      </w:tr>
      <w:tr>
        <w:tc>
          <w:tcPr>
            <w:tcW w:type="dxa" w:w="3888"/>
            <w:shd w:val="clear" w:fill="F5F7F8"/>
          </w:tcPr>
          <w:p>
            <w:r/>
            <w:r>
              <w:rPr>
                <w:rFonts w:ascii="Calibri" w:hAnsi="Calibri"/>
                <w:b w:val="0"/>
                <w:color w:val="2F4E65"/>
                <w:sz w:val="20"/>
              </w:rPr>
              <w:t>Increases depend on it</w:t>
            </w:r>
          </w:p>
        </w:tc>
        <w:tc>
          <w:tcPr>
            <w:tcW w:type="dxa" w:w="3888"/>
            <w:shd w:val="clear" w:fill="F5F7F8"/>
          </w:tcPr>
          <w:p>
            <w:r/>
            <w:r>
              <w:rPr>
                <w:rFonts w:ascii="Calibri" w:hAnsi="Calibri"/>
                <w:b w:val="0"/>
                <w:color w:val="2F4E65"/>
                <w:sz w:val="20"/>
              </w:rPr>
              <w:t>Pass-throughs and increase factors are enforceable only as disclosed in the delivered prospectus</w:t>
            </w:r>
          </w:p>
        </w:tc>
        <w:tc>
          <w:tcPr>
            <w:tcW w:type="dxa" w:w="2160"/>
            <w:shd w:val="clear" w:fill="F5F7F8"/>
          </w:tcPr>
          <w:p>
            <w:r/>
            <w:r>
              <w:rPr>
                <w:rFonts w:ascii="Calibri" w:hAnsi="Calibri"/>
                <w:b w:val="0"/>
                <w:color w:val="2F4E65"/>
                <w:sz w:val="20"/>
              </w:rPr>
              <w:t>FS 723.031(6), 723.037</w:t>
            </w:r>
          </w:p>
        </w:tc>
      </w:tr>
    </w:tbl>
    <w:p>
      <w:pPr>
        <w:pStyle w:val="Heading1"/>
      </w:pPr>
      <w:r>
        <w:rPr>
          <w:rFonts w:ascii="Calibri" w:hAnsi="Calibri"/>
          <w:color w:val="2F4E65"/>
          <w:sz w:val="30"/>
        </w:rPr>
        <w:t>PROCEDURE</w:t>
      </w:r>
    </w:p>
    <w:p>
      <w:pPr>
        <w:pStyle w:val="Heading2"/>
      </w:pPr>
      <w:r>
        <w:rPr>
          <w:rFonts w:ascii="Calibri" w:hAnsi="Calibri"/>
          <w:color w:val="2F4E65"/>
          <w:sz w:val="24"/>
        </w:rPr>
        <w:t>Phase 1 — New Tenancy Delivery (the gate)</w:t>
      </w:r>
    </w:p>
    <w:p>
      <w:pPr>
        <w:pStyle w:val="ListNumber"/>
      </w:pPr>
      <w:r>
        <w:rPr>
          <w:rFonts w:ascii="Calibri" w:hAnsi="Calibri"/>
          <w:color w:val="2F4E65"/>
          <w:sz w:val="22"/>
        </w:rPr>
        <w:t>Community Manager — at application approval, pulls the CURRENT approved prospectus version for the community from the SharePoint prospectus library (never a photocopy of another community's document; versions differ).</w:t>
      </w:r>
    </w:p>
    <w:p>
      <w:pPr>
        <w:pStyle w:val="ListNumber"/>
      </w:pPr>
      <w:r>
        <w:rPr>
          <w:rFonts w:ascii="Calibri" w:hAnsi="Calibri"/>
          <w:color w:val="2F4E65"/>
          <w:sz w:val="22"/>
        </w:rPr>
        <w:t>Community Manager — delivers the complete package: prospectus + ALL exhibits (park plan, rental agreement form, park rules, disclosures). Partial delivery is non-delivery.</w:t>
      </w:r>
    </w:p>
    <w:p>
      <w:pPr>
        <w:pStyle w:val="ListNumber"/>
      </w:pPr>
      <w:r>
        <w:rPr>
          <w:rFonts w:ascii="Calibri" w:hAnsi="Calibri"/>
          <w:color w:val="2F4E65"/>
          <w:sz w:val="22"/>
        </w:rPr>
        <w:t>Resident signs the prospectus receipt (date, version ID, lot). This is the single most important signature in the file after the lease.</w:t>
      </w:r>
    </w:p>
    <w:p>
      <w:pPr>
        <w:pStyle w:val="ListNumber"/>
      </w:pPr>
      <w:r>
        <w:rPr>
          <w:rFonts w:ascii="Calibri" w:hAnsi="Calibri"/>
          <w:color w:val="2F4E65"/>
          <w:sz w:val="22"/>
        </w:rPr>
        <w:t>Community Manager — uploads the signed receipt to Rent Manager History &amp; Notes and the resident file BEFORE the lease is signed. Rent Manager move-in checklist blocks on this item (X-Resident Move-In Paperwork Checklist).</w:t>
      </w:r>
    </w:p>
    <w:p>
      <w:pPr>
        <w:pStyle w:val="ListNumber"/>
      </w:pPr>
      <w:r>
        <w:rPr>
          <w:rFonts w:ascii="Calibri" w:hAnsi="Calibri"/>
          <w:color w:val="2F4E65"/>
          <w:sz w:val="22"/>
        </w:rPr>
        <w:t>Calendar the 15-day void window: no non-refundable commitments (home deposit forfeiture, lot improvements billed to resident) inside the window without Legal sign-off.</w:t>
      </w:r>
    </w:p>
    <w:p>
      <w:pPr>
        <w:pStyle w:val="Heading2"/>
      </w:pPr>
      <w:r>
        <w:rPr>
          <w:rFonts w:ascii="Calibri" w:hAnsi="Calibri"/>
          <w:color w:val="2F4E65"/>
          <w:sz w:val="24"/>
        </w:rPr>
        <w:t>Phase 2 — Assumptions &amp; Resident-to-Resident Sales</w:t>
      </w:r>
    </w:p>
    <w:p>
      <w:pPr>
        <w:pStyle w:val="ListNumber"/>
      </w:pPr>
      <w:r>
        <w:rPr>
          <w:rFonts w:ascii="Calibri" w:hAnsi="Calibri"/>
          <w:color w:val="2F4E65"/>
          <w:sz w:val="22"/>
        </w:rPr>
        <w:t>When a buyer purchases a home in the community and assumes the seller's rental agreement, deliver the same prospectus version the seller was under, with receipt (the assuming homeowner takes subject to the same prospectus terms).</w:t>
      </w:r>
    </w:p>
    <w:p>
      <w:pPr>
        <w:pStyle w:val="ListNumber"/>
      </w:pPr>
      <w:r>
        <w:rPr>
          <w:rFonts w:ascii="Calibri" w:hAnsi="Calibri"/>
          <w:color w:val="2F4E65"/>
          <w:sz w:val="22"/>
        </w:rPr>
        <w:t>When the buyer signs a NEW lot rental agreement, treat as Phase 1 — deliver the current version.</w:t>
      </w:r>
    </w:p>
    <w:p>
      <w:pPr>
        <w:pStyle w:val="ListNumber"/>
      </w:pPr>
      <w:r>
        <w:rPr>
          <w:rFonts w:ascii="Calibri" w:hAnsi="Calibri"/>
          <w:color w:val="2F4E65"/>
          <w:sz w:val="22"/>
        </w:rPr>
        <w:t>Remember FS 723.058: the park cannot deny the resident's right to sell in the park; purchaser qualification runs through standard screening (SOP 006), never through prospectus games.</w:t>
      </w:r>
    </w:p>
    <w:p>
      <w:pPr>
        <w:pStyle w:val="Heading2"/>
      </w:pPr>
      <w:r>
        <w:rPr>
          <w:rFonts w:ascii="Calibri" w:hAnsi="Calibri"/>
          <w:color w:val="2F4E65"/>
          <w:sz w:val="24"/>
        </w:rPr>
        <w:t>Phase 3 — Quarterly Audit</w:t>
      </w:r>
    </w:p>
    <w:p>
      <w:pPr>
        <w:pStyle w:val="ListNumber"/>
      </w:pPr>
      <w:r>
        <w:rPr>
          <w:rFonts w:ascii="Calibri" w:hAnsi="Calibri"/>
          <w:color w:val="2F4E65"/>
          <w:sz w:val="22"/>
        </w:rPr>
        <w:t>Regional Manager — quarterly: pulls all new tenancies from Rent Manager and reconciles against signed prospectus receipts; logs results on the Prospectus Review Tracker (SharePoint &gt; Acquisitions &gt; PH Projects &gt; _Transaction Management).</w:t>
      </w:r>
    </w:p>
    <w:p>
      <w:pPr>
        <w:pStyle w:val="ListNumber"/>
      </w:pPr>
      <w:r>
        <w:rPr>
          <w:rFonts w:ascii="Calibri" w:hAnsi="Calibri"/>
          <w:color w:val="2F4E65"/>
          <w:sz w:val="22"/>
        </w:rPr>
        <w:t>Any tenancy missing a receipt: deliver immediately with receipt, flag to Legal (late delivery does not cure the original defect, but it stops the bleeding), and note the account — increases for that resident need Legal review.</w:t>
      </w:r>
    </w:p>
    <w:p>
      <w:pPr>
        <w:pStyle w:val="Heading2"/>
      </w:pPr>
      <w:r>
        <w:rPr>
          <w:rFonts w:ascii="Calibri" w:hAnsi="Calibri"/>
          <w:color w:val="2F4E65"/>
          <w:sz w:val="24"/>
        </w:rPr>
        <w:t>Phase 4 — No-Prospectus Community Remediation</w:t>
      </w:r>
    </w:p>
    <w:p>
      <w:pPr>
        <w:pStyle w:val="ListNumber"/>
      </w:pPr>
      <w:r>
        <w:rPr>
          <w:rFonts w:ascii="Calibri" w:hAnsi="Calibri"/>
          <w:color w:val="2F4E65"/>
          <w:sz w:val="22"/>
        </w:rPr>
        <w:t>Legal / Compliance — maintains the remediation list from the FL Consolidated matrix. Current flags: Geiger Key RV Resort, Great Oak RV Resort, River Oaks RV Resort (Chapter 513 — confirm classification, no prospectus needed), Hunter Springs MHC, Nalls Court, Paradise Lakes, Silver Breeze (verify lot count; if 26+ lots, file a prospectus with the Division).</w:t>
      </w:r>
    </w:p>
    <w:p>
      <w:pPr>
        <w:pStyle w:val="ListNumber"/>
      </w:pPr>
      <w:r>
        <w:rPr>
          <w:rFonts w:ascii="Calibri" w:hAnsi="Calibri"/>
          <w:color w:val="2F4E65"/>
          <w:sz w:val="22"/>
        </w:rPr>
        <w:t>Until an approved prospectus is delivered at a 26+ lot community, treat rent increases there as statute-only (90-day notice, no prospectus-based pass-throughs) with Legal approval on every notice.</w:t>
      </w:r>
    </w:p>
    <w:p>
      <w:pPr>
        <w:pStyle w:val="ListNumber"/>
      </w:pPr>
      <w:r>
        <w:rPr>
          <w:rFonts w:ascii="Calibri" w:hAnsi="Calibri"/>
          <w:color w:val="2F4E65"/>
          <w:sz w:val="22"/>
        </w:rPr>
        <w:t>New acquisitions: prospectus status is a Due Diligence checklist item; no post-close increase is scheduled until the matrix is updated.</w:t>
      </w:r>
    </w:p>
    <w:p>
      <w:pPr>
        <w:pStyle w:val="Heading1"/>
      </w:pPr>
      <w:r>
        <w:rPr>
          <w:rFonts w:ascii="Calibri" w:hAnsi="Calibri"/>
          <w:color w:val="2F4E65"/>
          <w:sz w:val="30"/>
        </w:rPr>
        <w:t>DOCUMENTATION &amp; RECORDKEEPING</w:t>
      </w:r>
    </w:p>
    <w:p>
      <w:pPr>
        <w:pStyle w:val="ListBullet"/>
      </w:pPr>
      <w:r>
        <w:rPr>
          <w:rFonts w:ascii="Calibri" w:hAnsi="Calibri"/>
          <w:color w:val="2F4E65"/>
          <w:sz w:val="22"/>
        </w:rPr>
        <w:t>Signed prospectus receipts: Rent Manager (per resident) + resident file. Version ID always recorded.</w:t>
      </w:r>
    </w:p>
    <w:p>
      <w:pPr>
        <w:pStyle w:val="ListBullet"/>
      </w:pPr>
      <w:r>
        <w:rPr>
          <w:rFonts w:ascii="Calibri" w:hAnsi="Calibri"/>
          <w:color w:val="2F4E65"/>
          <w:sz w:val="22"/>
        </w:rPr>
        <w:t>Version matrix and remediation log: Asset Management &amp; Finance / Prospectus Documents (single source of truth).</w:t>
      </w:r>
    </w:p>
    <w:p>
      <w:pPr>
        <w:pStyle w:val="ListBullet"/>
      </w:pPr>
      <w:r>
        <w:rPr>
          <w:rFonts w:ascii="Calibri" w:hAnsi="Calibri"/>
          <w:color w:val="2F4E65"/>
          <w:sz w:val="22"/>
        </w:rPr>
        <w:t>Retention: life of tenancy + 7 years.</w:t>
      </w:r>
    </w:p>
    <w:p/>
    <w:p>
      <w:r>
        <w:rPr>
          <w:rFonts w:ascii="Calibri" w:hAnsi="Calibri"/>
          <w:color w:val="8FA3B2"/>
          <w:sz w:val="18"/>
        </w:rPr>
        <w:t>Draft prepared from the 2025 Florida Statutes (flsenate.gov), the approved community prospectuses on SharePoint (Asset Management &amp; Finance / Prospectus Documents), and existing Parakeet SOPs in Operations / _Training / Standard Operating Procedures.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C387AE9-CAE2-4AA2-8A35-EF60010C16C4}"/>
</file>

<file path=customXml/itemProps3.xml><?xml version="1.0" encoding="utf-8"?>
<ds:datastoreItem xmlns:ds="http://schemas.openxmlformats.org/officeDocument/2006/customXml" ds:itemID="{3CF26A38-CD8C-4F8A-AF00-2DF312C7ACD0}"/>
</file>

<file path=customXml/itemProps4.xml><?xml version="1.0" encoding="utf-8"?>
<ds:datastoreItem xmlns:ds="http://schemas.openxmlformats.org/officeDocument/2006/customXml" ds:itemID="{9F8A09DB-9902-4F4A-B85E-80E37F8D704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