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806: Security Deposit Handling &amp; Refund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Accounting / Finance, Operations Coordinator</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83.49; FS 723.031(9) (lot deposits held over 3 months follow s. 83.49)</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collect, hold, and return security deposits at Florida communities exactly as FS 83.49 requires. The penalty structure is asymmetric: miss the 30-day claim notice and Parakeet forfeits the right to claim ANY of the deposit; litigate a bad claim and Parakeet pays the resident's attorney fees. The calendar is the whole game.</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park-owned home (POH) rentals at Florida communities — Chapter 83 applies directly</w:t>
      </w:r>
    </w:p>
    <w:p>
      <w:pPr>
        <w:pStyle w:val="ListBullet"/>
      </w:pPr>
      <w:r>
        <w:rPr>
          <w:rFonts w:ascii="Calibri" w:hAnsi="Calibri"/>
          <w:color w:val="2F4E65"/>
          <w:sz w:val="22"/>
        </w:rPr>
        <w:t>All lot tenancy deposits held longer than 3 months — FS 723.031(9) routes them into s. 83.49</w:t>
      </w:r>
    </w:p>
    <w:p>
      <w:pPr>
        <w:pStyle w:val="ListBullet"/>
      </w:pPr>
      <w:r>
        <w:rPr>
          <w:rFonts w:ascii="Calibri" w:hAnsi="Calibri"/>
          <w:color w:val="2F4E65"/>
          <w:sz w:val="22"/>
        </w:rPr>
        <w:t>Accounting / Finance owns the deposit accounts; Community Managers own the move-out timeline</w:t>
      </w:r>
    </w:p>
    <w:p>
      <w:pPr>
        <w:pStyle w:val="Heading2"/>
      </w:pPr>
      <w:r>
        <w:rPr>
          <w:rFonts w:ascii="Calibri" w:hAnsi="Calibri"/>
          <w:color w:val="2F4E65"/>
          <w:sz w:val="24"/>
        </w:rPr>
        <w:t>Trigger</w:t>
      </w:r>
    </w:p>
    <w:p>
      <w:r>
        <w:rPr>
          <w:rFonts w:ascii="Calibri" w:hAnsi="Calibri"/>
          <w:b w:val="0"/>
          <w:color w:val="2F4E65"/>
          <w:sz w:val="22"/>
        </w:rPr>
        <w:t>A deposit or advance rent is received; or a tenancy terminates (move-out, eviction, abandonment, turn-in).</w:t>
      </w:r>
    </w:p>
    <w:p>
      <w:pPr>
        <w:pStyle w:val="Heading2"/>
      </w:pPr>
      <w:r>
        <w:rPr>
          <w:rFonts w:ascii="Calibri" w:hAnsi="Calibri"/>
          <w:color w:val="2F4E65"/>
          <w:sz w:val="24"/>
        </w:rPr>
        <w:t>Finish Line</w:t>
      </w:r>
    </w:p>
    <w:p>
      <w:r>
        <w:rPr>
          <w:rFonts w:ascii="Calibri" w:hAnsi="Calibri"/>
          <w:b w:val="0"/>
          <w:color w:val="2F4E65"/>
          <w:sz w:val="22"/>
        </w:rPr>
        <w:t>The deposit is refunded, or a statutorily compliant claim is resolved, and the ledger, notices, and proofs are documented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Accounting / Finance</w:t>
            </w:r>
          </w:p>
        </w:tc>
        <w:tc>
          <w:tcPr>
            <w:tcW w:type="dxa" w:w="6768"/>
          </w:tcPr>
          <w:p>
            <w:r/>
            <w:r>
              <w:rPr>
                <w:rFonts w:ascii="Calibri" w:hAnsi="Calibri"/>
                <w:b w:val="0"/>
                <w:color w:val="2F4E65"/>
                <w:sz w:val="20"/>
              </w:rPr>
              <w:t>Holds all FL deposits in the designated Florida deposit account (separate, non-commingled); issues refund checks; tracks the account election (non-interest-bearing / interest-bearing / surety bond)</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Move-out inspection with photos; damage documentation; initiates refund or claim within the statutory windows</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the 30-day holding disclosure and the statutory claim notice from templates; calendars every deadline</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Approves every claim against a deposit before the notice is sent; audits open deposit timelines weekly</w:t>
            </w:r>
          </w:p>
        </w:tc>
      </w:tr>
    </w:tbl>
    <w:p>
      <w:pPr>
        <w:pStyle w:val="Heading1"/>
      </w:pPr>
      <w:r>
        <w:rPr>
          <w:rFonts w:ascii="Calibri" w:hAnsi="Calibri"/>
          <w:color w:val="2F4E65"/>
          <w:sz w:val="30"/>
        </w:rPr>
        <w:t>FLORIDA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Holding method</w:t>
            </w:r>
          </w:p>
        </w:tc>
        <w:tc>
          <w:tcPr>
            <w:tcW w:type="dxa" w:w="3888"/>
          </w:tcPr>
          <w:p>
            <w:r/>
            <w:r>
              <w:rPr>
                <w:rFonts w:ascii="Calibri" w:hAnsi="Calibri"/>
                <w:b w:val="0"/>
                <w:color w:val="2F4E65"/>
                <w:sz w:val="20"/>
              </w:rPr>
              <w:t>Separate Florida account (non-interest or interest-bearing) or surety bond; never commingle with operating funds</w:t>
            </w:r>
          </w:p>
        </w:tc>
        <w:tc>
          <w:tcPr>
            <w:tcW w:type="dxa" w:w="2160"/>
          </w:tcPr>
          <w:p>
            <w:r/>
            <w:r>
              <w:rPr>
                <w:rFonts w:ascii="Calibri" w:hAnsi="Calibri"/>
                <w:b w:val="0"/>
                <w:color w:val="2F4E65"/>
                <w:sz w:val="20"/>
              </w:rPr>
              <w:t>FS 83.49(1)</w:t>
            </w:r>
          </w:p>
        </w:tc>
      </w:tr>
      <w:tr>
        <w:tc>
          <w:tcPr>
            <w:tcW w:type="dxa" w:w="3888"/>
            <w:shd w:val="clear" w:fill="F5F7F8"/>
          </w:tcPr>
          <w:p>
            <w:r/>
            <w:r>
              <w:rPr>
                <w:rFonts w:ascii="Calibri" w:hAnsi="Calibri"/>
                <w:b w:val="0"/>
                <w:color w:val="2F4E65"/>
                <w:sz w:val="20"/>
              </w:rPr>
              <w:t>Holding disclosure to tenant</w:t>
            </w:r>
          </w:p>
        </w:tc>
        <w:tc>
          <w:tcPr>
            <w:tcW w:type="dxa" w:w="3888"/>
            <w:shd w:val="clear" w:fill="F5F7F8"/>
          </w:tcPr>
          <w:p>
            <w:r/>
            <w:r>
              <w:rPr>
                <w:rFonts w:ascii="Calibri" w:hAnsi="Calibri"/>
                <w:b w:val="0"/>
                <w:color w:val="2F4E65"/>
                <w:sz w:val="20"/>
              </w:rPr>
              <w:t>Written notice within 30 days of receiving the deposit: manner of holding, account type, interest terms (or in the lease itself)</w:t>
            </w:r>
          </w:p>
        </w:tc>
        <w:tc>
          <w:tcPr>
            <w:tcW w:type="dxa" w:w="2160"/>
            <w:shd w:val="clear" w:fill="F5F7F8"/>
          </w:tcPr>
          <w:p>
            <w:r/>
            <w:r>
              <w:rPr>
                <w:rFonts w:ascii="Calibri" w:hAnsi="Calibri"/>
                <w:b w:val="0"/>
                <w:color w:val="2F4E65"/>
                <w:sz w:val="20"/>
              </w:rPr>
              <w:t>FS 83.49(2)</w:t>
            </w:r>
          </w:p>
        </w:tc>
      </w:tr>
      <w:tr>
        <w:tc>
          <w:tcPr>
            <w:tcW w:type="dxa" w:w="3888"/>
          </w:tcPr>
          <w:p>
            <w:r/>
            <w:r>
              <w:rPr>
                <w:rFonts w:ascii="Calibri" w:hAnsi="Calibri"/>
                <w:b w:val="0"/>
                <w:color w:val="2F4E65"/>
                <w:sz w:val="20"/>
              </w:rPr>
              <w:t>Interest (if interest-bearing election)</w:t>
            </w:r>
          </w:p>
        </w:tc>
        <w:tc>
          <w:tcPr>
            <w:tcW w:type="dxa" w:w="3888"/>
          </w:tcPr>
          <w:p>
            <w:r/>
            <w:r>
              <w:rPr>
                <w:rFonts w:ascii="Calibri" w:hAnsi="Calibri"/>
                <w:b w:val="0"/>
                <w:color w:val="2F4E65"/>
                <w:sz w:val="20"/>
              </w:rPr>
              <w:t>Tenant receives 75% of annualized average interest or 5% simple, per election</w:t>
            </w:r>
          </w:p>
        </w:tc>
        <w:tc>
          <w:tcPr>
            <w:tcW w:type="dxa" w:w="2160"/>
          </w:tcPr>
          <w:p>
            <w:r/>
            <w:r>
              <w:rPr>
                <w:rFonts w:ascii="Calibri" w:hAnsi="Calibri"/>
                <w:b w:val="0"/>
                <w:color w:val="2F4E65"/>
                <w:sz w:val="20"/>
              </w:rPr>
              <w:t>FS 83.49(1)</w:t>
            </w:r>
          </w:p>
        </w:tc>
      </w:tr>
      <w:tr>
        <w:tc>
          <w:tcPr>
            <w:tcW w:type="dxa" w:w="3888"/>
            <w:shd w:val="clear" w:fill="F5F7F8"/>
          </w:tcPr>
          <w:p>
            <w:r/>
            <w:r>
              <w:rPr>
                <w:rFonts w:ascii="Calibri" w:hAnsi="Calibri"/>
                <w:b w:val="0"/>
                <w:color w:val="2F4E65"/>
                <w:sz w:val="20"/>
              </w:rPr>
              <w:t>No claim → refund deadline</w:t>
            </w:r>
          </w:p>
        </w:tc>
        <w:tc>
          <w:tcPr>
            <w:tcW w:type="dxa" w:w="3888"/>
            <w:shd w:val="clear" w:fill="F5F7F8"/>
          </w:tcPr>
          <w:p>
            <w:r/>
            <w:r>
              <w:rPr>
                <w:rFonts w:ascii="Calibri" w:hAnsi="Calibri"/>
                <w:b w:val="0"/>
                <w:color w:val="2F4E65"/>
                <w:sz w:val="20"/>
              </w:rPr>
              <w:t>Return the full deposit (plus any interest owed) within 15 days after termination of the tenancy</w:t>
            </w:r>
          </w:p>
        </w:tc>
        <w:tc>
          <w:tcPr>
            <w:tcW w:type="dxa" w:w="2160"/>
            <w:shd w:val="clear" w:fill="F5F7F8"/>
          </w:tcPr>
          <w:p>
            <w:r/>
            <w:r>
              <w:rPr>
                <w:rFonts w:ascii="Calibri" w:hAnsi="Calibri"/>
                <w:b w:val="0"/>
                <w:color w:val="2F4E65"/>
                <w:sz w:val="20"/>
              </w:rPr>
              <w:t>FS 83.49(3)(a)</w:t>
            </w:r>
          </w:p>
        </w:tc>
      </w:tr>
      <w:tr>
        <w:tc>
          <w:tcPr>
            <w:tcW w:type="dxa" w:w="3888"/>
          </w:tcPr>
          <w:p>
            <w:r/>
            <w:r>
              <w:rPr>
                <w:rFonts w:ascii="Calibri" w:hAnsi="Calibri"/>
                <w:b w:val="0"/>
                <w:color w:val="2F4E65"/>
                <w:sz w:val="20"/>
              </w:rPr>
              <w:t>Claim → notice deadline</w:t>
            </w:r>
          </w:p>
        </w:tc>
        <w:tc>
          <w:tcPr>
            <w:tcW w:type="dxa" w:w="3888"/>
          </w:tcPr>
          <w:p>
            <w:r/>
            <w:r>
              <w:rPr>
                <w:rFonts w:ascii="Calibri" w:hAnsi="Calibri"/>
                <w:b w:val="0"/>
                <w:color w:val="2F4E65"/>
                <w:sz w:val="20"/>
              </w:rPr>
              <w:t>Send the claim notice by certified mail to the tenant's last known address within 30 days after termination — using the exact statutory language</w:t>
            </w:r>
          </w:p>
        </w:tc>
        <w:tc>
          <w:tcPr>
            <w:tcW w:type="dxa" w:w="2160"/>
          </w:tcPr>
          <w:p>
            <w:r/>
            <w:r>
              <w:rPr>
                <w:rFonts w:ascii="Calibri" w:hAnsi="Calibri"/>
                <w:b w:val="0"/>
                <w:color w:val="2F4E65"/>
                <w:sz w:val="20"/>
              </w:rPr>
              <w:t>FS 83.49(3)(a)</w:t>
            </w:r>
          </w:p>
        </w:tc>
      </w:tr>
      <w:tr>
        <w:tc>
          <w:tcPr>
            <w:tcW w:type="dxa" w:w="3888"/>
            <w:shd w:val="clear" w:fill="F5F7F8"/>
          </w:tcPr>
          <w:p>
            <w:r/>
            <w:r>
              <w:rPr>
                <w:rFonts w:ascii="Calibri" w:hAnsi="Calibri"/>
                <w:b w:val="0"/>
                <w:color w:val="2F4E65"/>
                <w:sz w:val="20"/>
              </w:rPr>
              <w:t>Missed 30-day notice</w:t>
            </w:r>
          </w:p>
        </w:tc>
        <w:tc>
          <w:tcPr>
            <w:tcW w:type="dxa" w:w="3888"/>
            <w:shd w:val="clear" w:fill="F5F7F8"/>
          </w:tcPr>
          <w:p>
            <w:r/>
            <w:r>
              <w:rPr>
                <w:rFonts w:ascii="Calibri" w:hAnsi="Calibri"/>
                <w:b w:val="0"/>
                <w:color w:val="2F4E65"/>
                <w:sz w:val="20"/>
              </w:rPr>
              <w:t>Parakeet FORFEITS the right to impose any claim (may still sue separately for damages, but cannot touch the deposit)</w:t>
            </w:r>
          </w:p>
        </w:tc>
        <w:tc>
          <w:tcPr>
            <w:tcW w:type="dxa" w:w="2160"/>
            <w:shd w:val="clear" w:fill="F5F7F8"/>
          </w:tcPr>
          <w:p>
            <w:r/>
            <w:r>
              <w:rPr>
                <w:rFonts w:ascii="Calibri" w:hAnsi="Calibri"/>
                <w:b w:val="0"/>
                <w:color w:val="2F4E65"/>
                <w:sz w:val="20"/>
              </w:rPr>
              <w:t>FS 83.49(3)(a)</w:t>
            </w:r>
          </w:p>
        </w:tc>
      </w:tr>
      <w:tr>
        <w:tc>
          <w:tcPr>
            <w:tcW w:type="dxa" w:w="3888"/>
          </w:tcPr>
          <w:p>
            <w:r/>
            <w:r>
              <w:rPr>
                <w:rFonts w:ascii="Calibri" w:hAnsi="Calibri"/>
                <w:b w:val="0"/>
                <w:color w:val="2F4E65"/>
                <w:sz w:val="20"/>
              </w:rPr>
              <w:t>Tenant objection window</w:t>
            </w:r>
          </w:p>
        </w:tc>
        <w:tc>
          <w:tcPr>
            <w:tcW w:type="dxa" w:w="3888"/>
          </w:tcPr>
          <w:p>
            <w:r/>
            <w:r>
              <w:rPr>
                <w:rFonts w:ascii="Calibri" w:hAnsi="Calibri"/>
                <w:b w:val="0"/>
                <w:color w:val="2F4E65"/>
                <w:sz w:val="20"/>
              </w:rPr>
              <w:t>15 days from receipt of the claim notice; no objection → deduct and remit balance within 30 days of the original notice</w:t>
            </w:r>
          </w:p>
        </w:tc>
        <w:tc>
          <w:tcPr>
            <w:tcW w:type="dxa" w:w="2160"/>
          </w:tcPr>
          <w:p>
            <w:r/>
            <w:r>
              <w:rPr>
                <w:rFonts w:ascii="Calibri" w:hAnsi="Calibri"/>
                <w:b w:val="0"/>
                <w:color w:val="2F4E65"/>
                <w:sz w:val="20"/>
              </w:rPr>
              <w:t>FS 83.49(3)(b)</w:t>
            </w:r>
          </w:p>
        </w:tc>
      </w:tr>
    </w:tbl>
    <w:p>
      <w:pPr>
        <w:pStyle w:val="Heading1"/>
      </w:pPr>
      <w:r>
        <w:rPr>
          <w:rFonts w:ascii="Calibri" w:hAnsi="Calibri"/>
          <w:color w:val="2F4E65"/>
          <w:sz w:val="30"/>
        </w:rPr>
        <w:t>STATUTORY CLAIM NOTICE LANGUAGE — USE VERBATIM</w:t>
      </w:r>
    </w:p>
    <w:p>
      <w:r>
        <w:rPr>
          <w:rFonts w:ascii="Calibri" w:hAnsi="Calibri"/>
          <w:b w:val="0"/>
          <w:color w:val="2F4E65"/>
          <w:sz w:val="20"/>
        </w:rPr>
        <w:t>This is a notice of my intention to impose a claim for damages in the amount of _____ upon your security deposit, due to _____. It is sent to you as required by s. 83.49(3), Florida Statutes. You are hereby notified that you must object in writing to this deduction from your security deposit within 15 days from the time you receive this notice or I will be authorized to deduct my claim from your security deposit. Your objection must be sent to (landlord's address).</w:t>
      </w:r>
    </w:p>
    <w:p>
      <w:pPr>
        <w:pStyle w:val="Heading1"/>
      </w:pPr>
      <w:r>
        <w:rPr>
          <w:rFonts w:ascii="Calibri" w:hAnsi="Calibri"/>
          <w:color w:val="2F4E65"/>
          <w:sz w:val="30"/>
        </w:rPr>
        <w:t>PROCEDURE</w:t>
      </w:r>
    </w:p>
    <w:p>
      <w:pPr>
        <w:pStyle w:val="Heading2"/>
      </w:pPr>
      <w:r>
        <w:rPr>
          <w:rFonts w:ascii="Calibri" w:hAnsi="Calibri"/>
          <w:color w:val="2F4E65"/>
          <w:sz w:val="24"/>
        </w:rPr>
        <w:t>Phase 1 — Receipt &amp; Holding</w:t>
      </w:r>
    </w:p>
    <w:p>
      <w:pPr>
        <w:pStyle w:val="ListNumber"/>
      </w:pPr>
      <w:r>
        <w:rPr>
          <w:rFonts w:ascii="Calibri" w:hAnsi="Calibri"/>
          <w:color w:val="2F4E65"/>
          <w:sz w:val="22"/>
        </w:rPr>
        <w:t>Community Manager — records the deposit in Rent Manager at receipt (amount, date, type: security / advance rent / pet).</w:t>
      </w:r>
    </w:p>
    <w:p>
      <w:pPr>
        <w:pStyle w:val="ListNumber"/>
      </w:pPr>
      <w:r>
        <w:rPr>
          <w:rFonts w:ascii="Calibri" w:hAnsi="Calibri"/>
          <w:color w:val="2F4E65"/>
          <w:sz w:val="22"/>
        </w:rPr>
        <w:t>Accounting / Finance — sweeps the deposit into the designated Florida deposit account; confirms the community's holding election is current.</w:t>
      </w:r>
    </w:p>
    <w:p>
      <w:pPr>
        <w:pStyle w:val="ListNumber"/>
      </w:pPr>
      <w:r>
        <w:rPr>
          <w:rFonts w:ascii="Calibri" w:hAnsi="Calibri"/>
          <w:color w:val="2F4E65"/>
          <w:sz w:val="22"/>
        </w:rPr>
        <w:t>Operations Coordinator — confirms the holding disclosure is covered in the lease or issues the standalone written disclosure within 30 days of receipt.</w:t>
      </w:r>
    </w:p>
    <w:p>
      <w:pPr>
        <w:pStyle w:val="ListNumber"/>
      </w:pPr>
      <w:r>
        <w:rPr>
          <w:rFonts w:ascii="Calibri" w:hAnsi="Calibri"/>
          <w:color w:val="2F4E65"/>
          <w:sz w:val="22"/>
        </w:rPr>
        <w:t>Lot tenancy deposits: if held beyond 3 months, they are subject to s. 83.49 — same account, same rules (FS 723.031(9)).</w:t>
      </w:r>
    </w:p>
    <w:p>
      <w:pPr>
        <w:pStyle w:val="Heading2"/>
      </w:pPr>
      <w:r>
        <w:rPr>
          <w:rFonts w:ascii="Calibri" w:hAnsi="Calibri"/>
          <w:color w:val="2F4E65"/>
          <w:sz w:val="24"/>
        </w:rPr>
        <w:t>Phase 2 — Termination &amp; Inspection  ·  Day 0 = tenancy termination</w:t>
      </w:r>
    </w:p>
    <w:p>
      <w:pPr>
        <w:pStyle w:val="ListNumber"/>
      </w:pPr>
      <w:r>
        <w:rPr>
          <w:rFonts w:ascii="Calibri" w:hAnsi="Calibri"/>
          <w:color w:val="2F4E65"/>
          <w:sz w:val="22"/>
        </w:rPr>
        <w:t>Community Manager — completes the move-out inspection within 48 hours of possession: date-stamped photos of every room and exterior, against the move-in condition report.</w:t>
      </w:r>
    </w:p>
    <w:p>
      <w:pPr>
        <w:pStyle w:val="ListNumber"/>
      </w:pPr>
      <w:r>
        <w:rPr>
          <w:rFonts w:ascii="Calibri" w:hAnsi="Calibri"/>
          <w:color w:val="2F4E65"/>
          <w:sz w:val="22"/>
        </w:rPr>
        <w:t>Community Manager — prices any damage beyond normal wear (vendor quotes or standard price list) and submits the claim recommendation to the Regional Manager by Day 7.</w:t>
      </w:r>
    </w:p>
    <w:p>
      <w:pPr>
        <w:pStyle w:val="ListNumber"/>
      </w:pPr>
      <w:r>
        <w:rPr>
          <w:rFonts w:ascii="Calibri" w:hAnsi="Calibri"/>
          <w:color w:val="2F4E65"/>
          <w:sz w:val="22"/>
        </w:rPr>
        <w:t>Regional Manager — approves or rejects the claim by Day 10. No claim goes out without Regional Manager approval.</w:t>
      </w:r>
    </w:p>
    <w:p>
      <w:pPr>
        <w:pStyle w:val="Heading2"/>
      </w:pPr>
      <w:r>
        <w:rPr>
          <w:rFonts w:ascii="Calibri" w:hAnsi="Calibri"/>
          <w:color w:val="2F4E65"/>
          <w:sz w:val="24"/>
        </w:rPr>
        <w:t>Phase 3A — No Claim</w:t>
      </w:r>
    </w:p>
    <w:p>
      <w:pPr>
        <w:pStyle w:val="ListNumber"/>
      </w:pPr>
      <w:r>
        <w:rPr>
          <w:rFonts w:ascii="Calibri" w:hAnsi="Calibri"/>
          <w:color w:val="2F4E65"/>
          <w:sz w:val="22"/>
        </w:rPr>
        <w:t>Accounting / Finance — issues the refund (full deposit + any interest owed) postmarked within 15 days of termination.</w:t>
      </w:r>
    </w:p>
    <w:p>
      <w:pPr>
        <w:pStyle w:val="ListNumber"/>
      </w:pPr>
      <w:r>
        <w:rPr>
          <w:rFonts w:ascii="Calibri" w:hAnsi="Calibri"/>
          <w:color w:val="2F4E65"/>
          <w:sz w:val="22"/>
        </w:rPr>
        <w:t>Community Manager — documents the refund (check number, date, mailing address) in Rent Manager.</w:t>
      </w:r>
    </w:p>
    <w:p>
      <w:pPr>
        <w:pStyle w:val="Heading2"/>
      </w:pPr>
      <w:r>
        <w:rPr>
          <w:rFonts w:ascii="Calibri" w:hAnsi="Calibri"/>
          <w:color w:val="2F4E65"/>
          <w:sz w:val="24"/>
        </w:rPr>
        <w:t>Phase 3B — Claim</w:t>
      </w:r>
    </w:p>
    <w:p>
      <w:pPr>
        <w:pStyle w:val="ListNumber"/>
      </w:pPr>
      <w:r>
        <w:rPr>
          <w:rFonts w:ascii="Calibri" w:hAnsi="Calibri"/>
          <w:color w:val="2F4E65"/>
          <w:sz w:val="22"/>
        </w:rPr>
        <w:t>Operations Coordinator — generates the claim notice with the verbatim statutory language, itemized amounts, and reasons.</w:t>
      </w:r>
    </w:p>
    <w:p>
      <w:pPr>
        <w:pStyle w:val="ListNumber"/>
      </w:pPr>
      <w:r>
        <w:rPr>
          <w:rFonts w:ascii="Calibri" w:hAnsi="Calibri"/>
          <w:color w:val="2F4E65"/>
          <w:sz w:val="22"/>
        </w:rPr>
        <w:t>Community Manager — sends by CERTIFIED MAIL to the tenant's last known mailing address within 30 days of termination (Day 25 internal deadline — never ride the statutory line). Upload the certified mail receipt to Rent Manager.</w:t>
      </w:r>
    </w:p>
    <w:p>
      <w:pPr>
        <w:pStyle w:val="ListNumber"/>
      </w:pPr>
      <w:r>
        <w:rPr>
          <w:rFonts w:ascii="Calibri" w:hAnsi="Calibri"/>
          <w:color w:val="2F4E65"/>
          <w:sz w:val="22"/>
        </w:rPr>
        <w:t>No objection within 15 days of tenant receipt: Accounting deducts the claim and remits any balance to the tenant within 30 days of the original notice date.</w:t>
      </w:r>
    </w:p>
    <w:p>
      <w:pPr>
        <w:pStyle w:val="ListNumber"/>
      </w:pPr>
      <w:r>
        <w:rPr>
          <w:rFonts w:ascii="Calibri" w:hAnsi="Calibri"/>
          <w:color w:val="2F4E65"/>
          <w:sz w:val="22"/>
        </w:rPr>
        <w:t>Objection received: freeze the deposit; Regional Manager + Legal / Compliance resolve (negotiate, split, or interplead). Remember the fee-shifting risk before litigating.</w:t>
      </w:r>
    </w:p>
    <w:p>
      <w:pPr>
        <w:pStyle w:val="Heading2"/>
      </w:pPr>
      <w:r>
        <w:rPr>
          <w:rFonts w:ascii="Calibri" w:hAnsi="Calibri"/>
          <w:color w:val="2F4E65"/>
          <w:sz w:val="24"/>
        </w:rPr>
        <w:t>Phase 4 — Special Cases</w:t>
      </w:r>
    </w:p>
    <w:p>
      <w:pPr>
        <w:pStyle w:val="ListNumber"/>
      </w:pPr>
      <w:r>
        <w:rPr>
          <w:rFonts w:ascii="Calibri" w:hAnsi="Calibri"/>
          <w:color w:val="2F4E65"/>
          <w:sz w:val="22"/>
        </w:rPr>
        <w:t>Eviction / abandonment / turn-in: termination date questions route to Legal before the clock is assumed; when in doubt, run the 15/30-day clocks from the earliest defensible date.</w:t>
      </w:r>
    </w:p>
    <w:p>
      <w:pPr>
        <w:pStyle w:val="ListNumber"/>
      </w:pPr>
      <w:r>
        <w:rPr>
          <w:rFonts w:ascii="Calibri" w:hAnsi="Calibri"/>
          <w:color w:val="2F4E65"/>
          <w:sz w:val="22"/>
        </w:rPr>
        <w:t>Forwarding address unknown: send to the last known address (the unit itself if nothing else); the certified mail attempt is the compliance act.</w:t>
      </w:r>
    </w:p>
    <w:p>
      <w:pPr>
        <w:pStyle w:val="Heading1"/>
      </w:pPr>
      <w:r>
        <w:rPr>
          <w:rFonts w:ascii="Calibri" w:hAnsi="Calibri"/>
          <w:color w:val="2F4E65"/>
          <w:sz w:val="30"/>
        </w:rPr>
        <w:t>DOCUMENTATION &amp; RECORDKEEPING</w:t>
      </w:r>
    </w:p>
    <w:p>
      <w:pPr>
        <w:pStyle w:val="ListBullet"/>
      </w:pPr>
      <w:r>
        <w:rPr>
          <w:rFonts w:ascii="Calibri" w:hAnsi="Calibri"/>
          <w:color w:val="2F4E65"/>
          <w:sz w:val="22"/>
        </w:rPr>
        <w:t>Per deposit: ledger entry, holding disclosure, move-in/move-out condition reports + photos, claim notice + certified receipt, refund record.</w:t>
      </w:r>
    </w:p>
    <w:p>
      <w:pPr>
        <w:pStyle w:val="ListBullet"/>
      </w:pPr>
      <w:r>
        <w:rPr>
          <w:rFonts w:ascii="Calibri" w:hAnsi="Calibri"/>
          <w:color w:val="2F4E65"/>
          <w:sz w:val="22"/>
        </w:rPr>
        <w:t>Regional Manager weekly audit of all open move-outs against the 15/30-day clocks.</w:t>
      </w:r>
    </w:p>
    <w:p>
      <w:pPr>
        <w:pStyle w:val="ListBullet"/>
      </w:pPr>
      <w:r>
        <w:rPr>
          <w:rFonts w:ascii="Calibri" w:hAnsi="Calibri"/>
          <w:color w:val="2F4E65"/>
          <w:sz w:val="22"/>
        </w:rPr>
        <w:t>Retention: 7 years.</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C93D13A-3C80-4C03-94D7-310FD6B3D2F9}"/>
</file>

<file path=customXml/itemProps3.xml><?xml version="1.0" encoding="utf-8"?>
<ds:datastoreItem xmlns:ds="http://schemas.openxmlformats.org/officeDocument/2006/customXml" ds:itemID="{380023B4-E920-470F-AB1C-63F8952014DF}"/>
</file>

<file path=customXml/itemProps4.xml><?xml version="1.0" encoding="utf-8"?>
<ds:datastoreItem xmlns:ds="http://schemas.openxmlformats.org/officeDocument/2006/customXml" ds:itemID="{D99CE7F0-077C-4C85-B7AE-F35E0668CBA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