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812: Violations, Demand &amp; Dispossessory Process (GA)</w:t>
      </w:r>
    </w:p>
    <w:p>
      <w:r>
        <w:rPr>
          <w:rFonts w:ascii="Calibri" w:hAnsi="Calibri"/>
          <w:b/>
          <w:color w:val="4ABA81"/>
          <w:sz w:val="26"/>
        </w:rPr>
        <w:t>Parakeet Communities  ·  Georgia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Operations Coordinator, Evictions Team, Legal / Compliance — GEORGIA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GEORGIA communities only (Florida set: SOP 801-806; South Carolina set: SOP 821-824)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O.C.G.A. 44-7-50 (demand; 2024 three-business-day notice), 44-7-52 (7-day tender cure), 44-7-7; lease covenants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O.C.G.A. Title 44, Chapter 7 (incl. 2024 amendments)</w:t>
            </w:r>
          </w:p>
        </w:tc>
      </w:tr>
    </w:tbl>
    <w:p/>
    <w:p>
      <w:r>
        <w:rPr>
          <w:rFonts w:ascii="Calibri" w:hAnsi="Calibri"/>
          <w:b/>
          <w:color w:val="F16262"/>
          <w:sz w:val="18"/>
        </w:rPr>
        <w:t>LEGAL REVIEW REQUIRED: This SOP restates timelines from O.C.G.A. Title 44, Chapter 7, including the 2024 amendments effective for leases entered into or renewed on or after July 1, 2024. Georgia counsel must review and approve before rollout. Where a lease is more specific than statute, the lease controls.</w:t>
      </w:r>
    </w:p>
    <w:p>
      <w:pPr>
        <w:pStyle w:val="Heading1"/>
      </w:pPr>
      <w:r>
        <w:rPr>
          <w:rFonts w:ascii="Calibri" w:hAnsi="Calibri"/>
          <w:color w:val="2F4E65"/>
          <w:sz w:val="30"/>
        </w:rPr>
        <w:t>PURPOSE</w:t>
      </w:r>
    </w:p>
    <w:p>
      <w:r>
        <w:rPr>
          <w:rFonts w:ascii="Calibri" w:hAnsi="Calibri"/>
          <w:b w:val="0"/>
          <w:color w:val="2F4E65"/>
          <w:sz w:val="22"/>
        </w:rPr>
        <w:t>To run rule violations and nonpayment escalation at Georgia communities through the dispossessory statute correctly — including the 2024 change most operators still miss: for leases entered into or renewed on or after July 1, 2024, a three-business-day written notice to vacate or pay is required BEFORE filing a dispossessory for nonpayment.</w:t>
      </w:r>
    </w:p>
    <w:p>
      <w:r>
        <w:rPr>
          <w:rFonts w:ascii="Calibri" w:hAnsi="Calibri"/>
          <w:b/>
          <w:color w:val="2F4E65"/>
          <w:sz w:val="20"/>
        </w:rPr>
        <w:t>GEORGIA HAS NO MANUFACTURED-HOME-PARK-SPECIFIC TENANCY ACT. Unlike Florida (Ch. 723) and South Carolina (Ch. 27-47), Georgia lot tenancies and park-owned home rentals both run under the general landlord-tenant law, O.C.G.A. Title 44, Chapter 7. That means the LEASE does the heavy lifting in Georgia — what the statute does not regulate, the lot rental agreement must.</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Georgia communities — lot tenants and park-owned home renters (same statute in Georgia)</w:t>
      </w:r>
    </w:p>
    <w:p>
      <w:pPr>
        <w:pStyle w:val="ListBullet"/>
      </w:pPr>
      <w:r>
        <w:rPr>
          <w:rFonts w:ascii="Calibri" w:hAnsi="Calibri"/>
          <w:color w:val="2F4E65"/>
          <w:sz w:val="22"/>
        </w:rPr>
        <w:t>Rule violations, lease breaches, and the nonpayment demand path</w:t>
      </w:r>
    </w:p>
    <w:p>
      <w:pPr>
        <w:pStyle w:val="ListBullet"/>
      </w:pPr>
      <w:r>
        <w:rPr>
          <w:rFonts w:ascii="Calibri" w:hAnsi="Calibri"/>
          <w:color w:val="2F4E65"/>
          <w:sz w:val="22"/>
        </w:rPr>
        <w:t>Works alongside SOP 100 (AR &amp; Collections) — this SOP owns the Georgia-specific legal steps</w:t>
      </w:r>
    </w:p>
    <w:p>
      <w:pPr>
        <w:pStyle w:val="Heading2"/>
      </w:pPr>
      <w:r>
        <w:rPr>
          <w:rFonts w:ascii="Calibri" w:hAnsi="Calibri"/>
          <w:color w:val="2F4E65"/>
          <w:sz w:val="24"/>
        </w:rPr>
        <w:t>Trigger</w:t>
      </w:r>
    </w:p>
    <w:p>
      <w:r>
        <w:rPr>
          <w:rFonts w:ascii="Calibri" w:hAnsi="Calibri"/>
          <w:b w:val="0"/>
          <w:color w:val="2F4E65"/>
          <w:sz w:val="22"/>
        </w:rPr>
        <w:t>A documented rule violation, lease breach, or a delinquency ready for demand.</w:t>
      </w:r>
    </w:p>
    <w:p>
      <w:pPr>
        <w:pStyle w:val="Heading2"/>
      </w:pPr>
      <w:r>
        <w:rPr>
          <w:rFonts w:ascii="Calibri" w:hAnsi="Calibri"/>
          <w:color w:val="2F4E65"/>
          <w:sz w:val="24"/>
        </w:rPr>
        <w:t>Finish Line</w:t>
      </w:r>
    </w:p>
    <w:p>
      <w:r>
        <w:rPr>
          <w:rFonts w:ascii="Calibri" w:hAnsi="Calibri"/>
          <w:b w:val="0"/>
          <w:color w:val="2F4E65"/>
          <w:sz w:val="22"/>
        </w:rPr>
        <w:t>Violation cured and documented, or dispossessory filed by the attorney on a complete, compliant notice trail.</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Documents violations; serves demands and notices; monitors cure windows</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Reviews every notice pre-service; approves attorney escalation</w:t>
            </w:r>
          </w:p>
        </w:tc>
      </w:tr>
      <w:tr>
        <w:tc>
          <w:tcPr>
            <w:tcW w:type="dxa" w:w="3168"/>
          </w:tcPr>
          <w:p>
            <w:r/>
            <w:r>
              <w:rPr>
                <w:rFonts w:ascii="Calibri" w:hAnsi="Calibri"/>
                <w:b w:val="0"/>
                <w:color w:val="2F4E65"/>
                <w:sz w:val="20"/>
              </w:rPr>
              <w:t>Operations Coordinator / Evictions Team</w:t>
            </w:r>
          </w:p>
        </w:tc>
        <w:tc>
          <w:tcPr>
            <w:tcW w:type="dxa" w:w="6768"/>
          </w:tcPr>
          <w:p>
            <w:r/>
            <w:r>
              <w:rPr>
                <w:rFonts w:ascii="Calibri" w:hAnsi="Calibri"/>
                <w:b w:val="0"/>
                <w:color w:val="2F4E65"/>
                <w:sz w:val="20"/>
              </w:rPr>
              <w:t>Generates Georgia notices; builds attorney intake packets</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Template owner; determines which lease vintage applies (pre / post 7-1-2024); attorney coordination</w:t>
            </w:r>
          </w:p>
        </w:tc>
      </w:tr>
    </w:tbl>
    <w:p>
      <w:pPr>
        <w:pStyle w:val="Heading1"/>
      </w:pPr>
      <w:r>
        <w:rPr>
          <w:rFonts w:ascii="Calibri" w:hAnsi="Calibri"/>
          <w:color w:val="2F4E65"/>
          <w:sz w:val="30"/>
        </w:rPr>
        <w:t>GEORGIA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Demand for possession</w:t>
            </w:r>
          </w:p>
        </w:tc>
        <w:tc>
          <w:tcPr>
            <w:tcW w:type="dxa" w:w="3888"/>
          </w:tcPr>
          <w:p>
            <w:r/>
            <w:r>
              <w:rPr>
                <w:rFonts w:ascii="Calibri" w:hAnsi="Calibri"/>
                <w:b w:val="0"/>
                <w:color w:val="2F4E65"/>
                <w:sz w:val="20"/>
              </w:rPr>
              <w:t>Required before ANY dispossessory filing — written demand for possession of the premises</w:t>
            </w:r>
          </w:p>
        </w:tc>
        <w:tc>
          <w:tcPr>
            <w:tcW w:type="dxa" w:w="2160"/>
          </w:tcPr>
          <w:p>
            <w:r/>
            <w:r>
              <w:rPr>
                <w:rFonts w:ascii="Calibri" w:hAnsi="Calibri"/>
                <w:b w:val="0"/>
                <w:color w:val="2F4E65"/>
                <w:sz w:val="20"/>
              </w:rPr>
              <w:t>O.C.G.A. 44-7-50(a)</w:t>
            </w:r>
          </w:p>
        </w:tc>
      </w:tr>
      <w:tr>
        <w:tc>
          <w:tcPr>
            <w:tcW w:type="dxa" w:w="3888"/>
            <w:shd w:val="clear" w:fill="F5F7F8"/>
          </w:tcPr>
          <w:p>
            <w:r/>
            <w:r>
              <w:rPr>
                <w:rFonts w:ascii="Calibri" w:hAnsi="Calibri"/>
                <w:b w:val="0"/>
                <w:color w:val="2F4E65"/>
                <w:sz w:val="20"/>
              </w:rPr>
              <w:t>Nonpayment — leases entered/renewed on or after July 1, 2024</w:t>
            </w:r>
          </w:p>
        </w:tc>
        <w:tc>
          <w:tcPr>
            <w:tcW w:type="dxa" w:w="3888"/>
            <w:shd w:val="clear" w:fill="F5F7F8"/>
          </w:tcPr>
          <w:p>
            <w:r/>
            <w:r>
              <w:rPr>
                <w:rFonts w:ascii="Calibri" w:hAnsi="Calibri"/>
                <w:b w:val="0"/>
                <w:color w:val="2F4E65"/>
                <w:sz w:val="20"/>
              </w:rPr>
              <w:t>Written notice to vacate OR pay all past due rent, late fees, utilities, and other charges within THREE BUSINESS DAYS, before filing</w:t>
            </w:r>
          </w:p>
        </w:tc>
        <w:tc>
          <w:tcPr>
            <w:tcW w:type="dxa" w:w="2160"/>
            <w:shd w:val="clear" w:fill="F5F7F8"/>
          </w:tcPr>
          <w:p>
            <w:r/>
            <w:r>
              <w:rPr>
                <w:rFonts w:ascii="Calibri" w:hAnsi="Calibri"/>
                <w:b w:val="0"/>
                <w:color w:val="2F4E65"/>
                <w:sz w:val="20"/>
              </w:rPr>
              <w:t>O.C.G.A. 44-7-50(c) (2024)</w:t>
            </w:r>
          </w:p>
        </w:tc>
      </w:tr>
      <w:tr>
        <w:tc>
          <w:tcPr>
            <w:tcW w:type="dxa" w:w="3888"/>
          </w:tcPr>
          <w:p>
            <w:r/>
            <w:r>
              <w:rPr>
                <w:rFonts w:ascii="Calibri" w:hAnsi="Calibri"/>
                <w:b w:val="0"/>
                <w:color w:val="2F4E65"/>
                <w:sz w:val="20"/>
              </w:rPr>
              <w:t>Notice delivery</w:t>
            </w:r>
          </w:p>
        </w:tc>
        <w:tc>
          <w:tcPr>
            <w:tcW w:type="dxa" w:w="3888"/>
          </w:tcPr>
          <w:p>
            <w:r/>
            <w:r>
              <w:rPr>
                <w:rFonts w:ascii="Calibri" w:hAnsi="Calibri"/>
                <w:b w:val="0"/>
                <w:color w:val="2F4E65"/>
                <w:sz w:val="20"/>
              </w:rPr>
              <w:t>Posted in a SEALED ENVELOPE conspicuously on the door PLUS any additional method(s) the lease specifies</w:t>
            </w:r>
          </w:p>
        </w:tc>
        <w:tc>
          <w:tcPr>
            <w:tcW w:type="dxa" w:w="2160"/>
          </w:tcPr>
          <w:p>
            <w:r/>
            <w:r>
              <w:rPr>
                <w:rFonts w:ascii="Calibri" w:hAnsi="Calibri"/>
                <w:b w:val="0"/>
                <w:color w:val="2F4E65"/>
                <w:sz w:val="20"/>
              </w:rPr>
              <w:t>O.C.G.A. 44-7-50(c)</w:t>
            </w:r>
          </w:p>
        </w:tc>
      </w:tr>
      <w:tr>
        <w:tc>
          <w:tcPr>
            <w:tcW w:type="dxa" w:w="3888"/>
            <w:shd w:val="clear" w:fill="F5F7F8"/>
          </w:tcPr>
          <w:p>
            <w:r/>
            <w:r>
              <w:rPr>
                <w:rFonts w:ascii="Calibri" w:hAnsi="Calibri"/>
                <w:b w:val="0"/>
                <w:color w:val="2F4E65"/>
                <w:sz w:val="20"/>
              </w:rPr>
              <w:t>Tenant cure by tender</w:t>
            </w:r>
          </w:p>
        </w:tc>
        <w:tc>
          <w:tcPr>
            <w:tcW w:type="dxa" w:w="3888"/>
            <w:shd w:val="clear" w:fill="F5F7F8"/>
          </w:tcPr>
          <w:p>
            <w:r/>
            <w:r>
              <w:rPr>
                <w:rFonts w:ascii="Calibri" w:hAnsi="Calibri"/>
                <w:b w:val="0"/>
                <w:color w:val="2F4E65"/>
                <w:sz w:val="20"/>
              </w:rPr>
              <w:t>Within 7 days of service of the dispossessory summons, tenant may tender all rents owed + court costs — complete defense; landlord must accept only ONCE per 12 months</w:t>
            </w:r>
          </w:p>
        </w:tc>
        <w:tc>
          <w:tcPr>
            <w:tcW w:type="dxa" w:w="2160"/>
            <w:shd w:val="clear" w:fill="F5F7F8"/>
          </w:tcPr>
          <w:p>
            <w:r/>
            <w:r>
              <w:rPr>
                <w:rFonts w:ascii="Calibri" w:hAnsi="Calibri"/>
                <w:b w:val="0"/>
                <w:color w:val="2F4E65"/>
                <w:sz w:val="20"/>
              </w:rPr>
              <w:t>O.C.G.A. 44-7-52</w:t>
            </w:r>
          </w:p>
        </w:tc>
      </w:tr>
      <w:tr>
        <w:tc>
          <w:tcPr>
            <w:tcW w:type="dxa" w:w="3888"/>
          </w:tcPr>
          <w:p>
            <w:r/>
            <w:r>
              <w:rPr>
                <w:rFonts w:ascii="Calibri" w:hAnsi="Calibri"/>
                <w:b w:val="0"/>
                <w:color w:val="2F4E65"/>
                <w:sz w:val="20"/>
              </w:rPr>
              <w:t>Rule/lease violations (non-rent)</w:t>
            </w:r>
          </w:p>
        </w:tc>
        <w:tc>
          <w:tcPr>
            <w:tcW w:type="dxa" w:w="3888"/>
          </w:tcPr>
          <w:p>
            <w:r/>
            <w:r>
              <w:rPr>
                <w:rFonts w:ascii="Calibri" w:hAnsi="Calibri"/>
                <w:b w:val="0"/>
                <w:color w:val="2F4E65"/>
                <w:sz w:val="20"/>
              </w:rPr>
              <w:t>No statutory cure notice — the LEASE governs notice and cure; Parakeet standard: written notice with a 7-day cure period unless the lease says otherwise or safety requires immediate action</w:t>
            </w:r>
          </w:p>
        </w:tc>
        <w:tc>
          <w:tcPr>
            <w:tcW w:type="dxa" w:w="2160"/>
          </w:tcPr>
          <w:p>
            <w:r/>
            <w:r>
              <w:rPr>
                <w:rFonts w:ascii="Calibri" w:hAnsi="Calibri"/>
                <w:b w:val="0"/>
                <w:color w:val="2F4E65"/>
                <w:sz w:val="20"/>
              </w:rPr>
              <w:t>Lease; company policy</w:t>
            </w:r>
          </w:p>
        </w:tc>
      </w:tr>
      <w:tr>
        <w:tc>
          <w:tcPr>
            <w:tcW w:type="dxa" w:w="3888"/>
            <w:shd w:val="clear" w:fill="F5F7F8"/>
          </w:tcPr>
          <w:p>
            <w:r/>
            <w:r>
              <w:rPr>
                <w:rFonts w:ascii="Calibri" w:hAnsi="Calibri"/>
                <w:b w:val="0"/>
                <w:color w:val="2F4E65"/>
                <w:sz w:val="20"/>
              </w:rPr>
              <w:t>Terminating a tenancy at will</w:t>
            </w:r>
          </w:p>
        </w:tc>
        <w:tc>
          <w:tcPr>
            <w:tcW w:type="dxa" w:w="3888"/>
            <w:shd w:val="clear" w:fill="F5F7F8"/>
          </w:tcPr>
          <w:p>
            <w:r/>
            <w:r>
              <w:rPr>
                <w:rFonts w:ascii="Calibri" w:hAnsi="Calibri"/>
                <w:b w:val="0"/>
                <w:color w:val="2F4E65"/>
                <w:sz w:val="20"/>
              </w:rPr>
              <w:t>60 days written notice from landlord</w:t>
            </w:r>
          </w:p>
        </w:tc>
        <w:tc>
          <w:tcPr>
            <w:tcW w:type="dxa" w:w="2160"/>
            <w:shd w:val="clear" w:fill="F5F7F8"/>
          </w:tcPr>
          <w:p>
            <w:r/>
            <w:r>
              <w:rPr>
                <w:rFonts w:ascii="Calibri" w:hAnsi="Calibri"/>
                <w:b w:val="0"/>
                <w:color w:val="2F4E65"/>
                <w:sz w:val="20"/>
              </w:rPr>
              <w:t>O.C.G.A. 44-7-7</w:t>
            </w:r>
          </w:p>
        </w:tc>
      </w:tr>
    </w:tbl>
    <w:p>
      <w:pPr>
        <w:pStyle w:val="Heading1"/>
      </w:pPr>
      <w:r>
        <w:rPr>
          <w:rFonts w:ascii="Calibri" w:hAnsi="Calibri"/>
          <w:color w:val="2F4E65"/>
          <w:sz w:val="30"/>
        </w:rPr>
        <w:t>FAIR HOUSING GUARDRAIL</w:t>
      </w:r>
    </w:p>
    <w:p>
      <w:r>
        <w:rPr>
          <w:rFonts w:ascii="Calibri" w:hAnsi="Calibri"/>
          <w:b w:val="0"/>
          <w:color w:val="2F4E65"/>
          <w:sz w:val="22"/>
        </w:rPr>
        <w:t>Uniform enforcement, same as Florida (SOP 802): same violation, same notice, same timeline, every resident. Exceptions require Director of Operations written approval.</w:t>
      </w:r>
    </w:p>
    <w:p>
      <w:pPr>
        <w:pStyle w:val="Heading1"/>
      </w:pPr>
      <w:r>
        <w:rPr>
          <w:rFonts w:ascii="Calibri" w:hAnsi="Calibri"/>
          <w:color w:val="2F4E65"/>
          <w:sz w:val="30"/>
        </w:rPr>
        <w:t>PROCEDURE</w:t>
      </w:r>
    </w:p>
    <w:p>
      <w:pPr>
        <w:pStyle w:val="Heading2"/>
      </w:pPr>
      <w:r>
        <w:rPr>
          <w:rFonts w:ascii="Calibri" w:hAnsi="Calibri"/>
          <w:color w:val="2F4E65"/>
          <w:sz w:val="24"/>
        </w:rPr>
        <w:t>Phase 1 — Document</w:t>
      </w:r>
    </w:p>
    <w:p>
      <w:pPr>
        <w:pStyle w:val="ListNumber"/>
      </w:pPr>
      <w:r>
        <w:rPr>
          <w:rFonts w:ascii="Calibri" w:hAnsi="Calibri"/>
          <w:color w:val="2F4E65"/>
          <w:sz w:val="22"/>
        </w:rPr>
        <w:t>Community Manager — documents the violation or confirms the delinquency: date-stamped photos, lease/rule citation, Rent Manager issue with attachments.</w:t>
      </w:r>
    </w:p>
    <w:p>
      <w:pPr>
        <w:pStyle w:val="Heading2"/>
      </w:pPr>
      <w:r>
        <w:rPr>
          <w:rFonts w:ascii="Calibri" w:hAnsi="Calibri"/>
          <w:color w:val="2F4E65"/>
          <w:sz w:val="24"/>
        </w:rPr>
        <w:t>Phase 2 — Determine the Notice</w:t>
      </w:r>
    </w:p>
    <w:p>
      <w:pPr>
        <w:pStyle w:val="ListNumber"/>
      </w:pPr>
      <w:r>
        <w:rPr>
          <w:rFonts w:ascii="Calibri" w:hAnsi="Calibri"/>
          <w:color w:val="2F4E65"/>
          <w:sz w:val="22"/>
        </w:rPr>
        <w:t>Legal / Compliance decision point — lease vintage: entered into or renewed ON/AFTER July 1, 2024 → the 3-business-day notice to vacate or pay applies before any nonpayment filing. Older leases: written demand for possession still required.</w:t>
      </w:r>
    </w:p>
    <w:p>
      <w:pPr>
        <w:pStyle w:val="ListNumber"/>
      </w:pPr>
      <w:r>
        <w:rPr>
          <w:rFonts w:ascii="Calibri" w:hAnsi="Calibri"/>
          <w:color w:val="2F4E65"/>
          <w:sz w:val="22"/>
        </w:rPr>
        <w:t>Non-rent violations: pull the lease cure clause; use the Georgia violation notice template (7-day cure default).</w:t>
      </w:r>
    </w:p>
    <w:p>
      <w:pPr>
        <w:pStyle w:val="ListNumber"/>
      </w:pPr>
      <w:r>
        <w:rPr>
          <w:rFonts w:ascii="Calibri" w:hAnsi="Calibri"/>
          <w:color w:val="2F4E65"/>
          <w:sz w:val="22"/>
        </w:rPr>
        <w:t>Regional Manager — reviews notice type, names, lot, amounts, dates.</w:t>
      </w:r>
    </w:p>
    <w:p>
      <w:pPr>
        <w:pStyle w:val="Heading2"/>
      </w:pPr>
      <w:r>
        <w:rPr>
          <w:rFonts w:ascii="Calibri" w:hAnsi="Calibri"/>
          <w:color w:val="2F4E65"/>
          <w:sz w:val="24"/>
        </w:rPr>
        <w:t>Phase 3 — Serve &amp; Prove</w:t>
      </w:r>
    </w:p>
    <w:p>
      <w:pPr>
        <w:pStyle w:val="ListNumber"/>
      </w:pPr>
      <w:r>
        <w:rPr>
          <w:rFonts w:ascii="Calibri" w:hAnsi="Calibri"/>
          <w:color w:val="2F4E65"/>
          <w:sz w:val="22"/>
        </w:rPr>
        <w:t>Community Manager — serves per statute: sealed envelope posted conspicuously on the door PLUS every additional method the lease specifies. Photograph the posted envelope (date visible).</w:t>
      </w:r>
    </w:p>
    <w:p>
      <w:pPr>
        <w:pStyle w:val="ListNumber"/>
      </w:pPr>
      <w:r>
        <w:rPr>
          <w:rFonts w:ascii="Calibri" w:hAnsi="Calibri"/>
          <w:color w:val="2F4E65"/>
          <w:sz w:val="22"/>
        </w:rPr>
        <w:t>Community Manager — uploads notice, photo, and any mail receipts to Rent Manager History &amp; Notes same day (SOP 813 standard). Count THREE BUSINESS DAYS — weekends and legal holidays do not count.</w:t>
      </w:r>
    </w:p>
    <w:p>
      <w:pPr>
        <w:pStyle w:val="Heading2"/>
      </w:pPr>
      <w:r>
        <w:rPr>
          <w:rFonts w:ascii="Calibri" w:hAnsi="Calibri"/>
          <w:color w:val="2F4E65"/>
          <w:sz w:val="24"/>
        </w:rPr>
        <w:t>Phase 4 — Cure or Escalate</w:t>
      </w:r>
    </w:p>
    <w:p>
      <w:pPr>
        <w:pStyle w:val="ListNumber"/>
      </w:pPr>
      <w:r>
        <w:rPr>
          <w:rFonts w:ascii="Calibri" w:hAnsi="Calibri"/>
          <w:color w:val="2F4E65"/>
          <w:sz w:val="22"/>
        </w:rPr>
        <w:t>Paid in full within the window (rent + late fees + utilities + other charges owed): document and stand down.</w:t>
      </w:r>
    </w:p>
    <w:p>
      <w:pPr>
        <w:pStyle w:val="ListNumber"/>
      </w:pPr>
      <w:r>
        <w:rPr>
          <w:rFonts w:ascii="Calibri" w:hAnsi="Calibri"/>
          <w:color w:val="2F4E65"/>
          <w:sz w:val="22"/>
        </w:rPr>
        <w:t>Not cured: Evictions Team builds the attorney intake (ledger, demand, 3-day notice + proof, lease copy) and files through counsel.</w:t>
      </w:r>
    </w:p>
    <w:p>
      <w:pPr>
        <w:pStyle w:val="ListNumber"/>
      </w:pPr>
      <w:r>
        <w:rPr>
          <w:rFonts w:ascii="Calibri" w:hAnsi="Calibri"/>
          <w:color w:val="2F4E65"/>
          <w:sz w:val="22"/>
        </w:rPr>
        <w:t>After summons is served, expect the 7-day tender window: if the resident tenders ALL rent owed plus the warrant cost, Parakeet MUST accept — but only once per rolling 12 months per resident. Track tender acceptances in Rent Manager so the once-per-12-months rule is enforceable.</w:t>
      </w:r>
    </w:p>
    <w:p>
      <w:pPr>
        <w:pStyle w:val="Heading2"/>
      </w:pPr>
      <w:r>
        <w:rPr>
          <w:rFonts w:ascii="Calibri" w:hAnsi="Calibri"/>
          <w:color w:val="2F4E65"/>
          <w:sz w:val="24"/>
        </w:rPr>
        <w:t>Phase 5 — Post-Judgment</w:t>
      </w:r>
    </w:p>
    <w:p>
      <w:pPr>
        <w:pStyle w:val="ListNumber"/>
      </w:pPr>
      <w:r>
        <w:rPr>
          <w:rFonts w:ascii="Calibri" w:hAnsi="Calibri"/>
          <w:color w:val="2F4E65"/>
          <w:sz w:val="22"/>
        </w:rPr>
        <w:t>Writ and set-out logistics per county practice — coordinate through the attorney; abandoned manufactured homes in Georgia have NO park-specific title shortcut (unlike SC): route every abandoned home to the Corporate Title Specialist and Legal for the appropriate abandonment / lien path.</w:t>
      </w:r>
    </w:p>
    <w:p>
      <w:pPr>
        <w:pStyle w:val="Heading1"/>
      </w:pPr>
      <w:r>
        <w:rPr>
          <w:rFonts w:ascii="Calibri" w:hAnsi="Calibri"/>
          <w:color w:val="2F4E65"/>
          <w:sz w:val="30"/>
        </w:rPr>
        <w:t>DOCUMENTATION &amp; RECORDKEEPING</w:t>
      </w:r>
    </w:p>
    <w:p>
      <w:pPr>
        <w:pStyle w:val="ListBullet"/>
      </w:pPr>
      <w:r>
        <w:rPr>
          <w:rFonts w:ascii="Calibri" w:hAnsi="Calibri"/>
          <w:color w:val="2F4E65"/>
          <w:sz w:val="22"/>
        </w:rPr>
        <w:t>Complete notice trail per account in Rent Manager; tender acceptances logged with dates.</w:t>
      </w:r>
    </w:p>
    <w:p>
      <w:pPr>
        <w:pStyle w:val="ListBullet"/>
      </w:pPr>
      <w:r>
        <w:rPr>
          <w:rFonts w:ascii="Calibri" w:hAnsi="Calibri"/>
          <w:color w:val="2F4E65"/>
          <w:sz w:val="22"/>
        </w:rPr>
        <w:t>Retention: 7 years.</w:t>
      </w:r>
    </w:p>
    <w:p/>
    <w:p>
      <w:r>
        <w:rPr>
          <w:rFonts w:ascii="Calibri" w:hAnsi="Calibri"/>
          <w:color w:val="8FA3B2"/>
          <w:sz w:val="18"/>
        </w:rPr>
        <w:t>Draft prepared from the current Official Code of Georgia Annotated (Title 44, Chapter 7), including the 2024 amendments effective for leases entered into or renewed on or after July 1, 2024, and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D56E0E-2200-4051-BBE2-BB65A04CF45B}"/>
</file>

<file path=customXml/itemProps3.xml><?xml version="1.0" encoding="utf-8"?>
<ds:datastoreItem xmlns:ds="http://schemas.openxmlformats.org/officeDocument/2006/customXml" ds:itemID="{3A29D934-6C1B-4E91-955C-9176BE1FF647}"/>
</file>

<file path=customXml/itemProps4.xml><?xml version="1.0" encoding="utf-8"?>
<ds:datastoreItem xmlns:ds="http://schemas.openxmlformats.org/officeDocument/2006/customXml" ds:itemID="{4AC06BFC-CFF2-4D81-A272-4A25AC2166A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