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813: Resident Notice Service &amp; Documentation (GA)</w:t>
      </w:r>
    </w:p>
    <w:p>
      <w:r>
        <w:rPr>
          <w:rFonts w:ascii="Calibri" w:hAnsi="Calibri"/>
          <w:b/>
          <w:color w:val="4ABA81"/>
          <w:sz w:val="26"/>
        </w:rPr>
        <w:t>Parakeet Communities  ·  Georgia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Operations Coordinator — GEORGIA communities</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GEORGIA communities only (Florida set: SOP 801-806; South Carolina set: SOP 821-824)</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O.C.G.A. 44-7-50(c) (door posting in sealed envelope + lease methods); 44-7-7; 44-7-34 (first-class mail for deposit statements); lease delivery clauses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the current O.C.G.A. Title 44, Chapter 7 (incl. 2024 amendments)</w:t>
            </w:r>
          </w:p>
        </w:tc>
      </w:tr>
    </w:tbl>
    <w:p/>
    <w:p>
      <w:r>
        <w:rPr>
          <w:rFonts w:ascii="Calibri" w:hAnsi="Calibri"/>
          <w:b/>
          <w:color w:val="F16262"/>
          <w:sz w:val="18"/>
        </w:rPr>
        <w:t>LEGAL REVIEW REQUIRED: This SOP restates timelines from O.C.G.A. Title 44, Chapter 7, including the 2024 amendments effective for leases entered into or renewed on or after July 1, 2024. Georgia counsel must review and approve before rollout. Where a lease is more specific than statute, the lease controls.</w:t>
      </w:r>
    </w:p>
    <w:p>
      <w:pPr>
        <w:pStyle w:val="Heading1"/>
      </w:pPr>
      <w:r>
        <w:rPr>
          <w:rFonts w:ascii="Calibri" w:hAnsi="Calibri"/>
          <w:color w:val="2F4E65"/>
          <w:sz w:val="30"/>
        </w:rPr>
        <w:t>PURPOSE</w:t>
      </w:r>
    </w:p>
    <w:p>
      <w:r>
        <w:rPr>
          <w:rFonts w:ascii="Calibri" w:hAnsi="Calibri"/>
          <w:b w:val="0"/>
          <w:color w:val="2F4E65"/>
          <w:sz w:val="22"/>
        </w:rPr>
        <w:t>The Georgia companion to SOP 803: serve every notice the way Georgia law and the lease require, and prove it. Georgia service rules are lease-driven with two statutory anchors — the sealed-envelope door posting for pre-dispossessory notices and first-class mail for deposit statements.</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notices at Georgia communities</w:t>
      </w:r>
    </w:p>
    <w:p>
      <w:pPr>
        <w:pStyle w:val="ListBullet"/>
      </w:pPr>
      <w:r>
        <w:rPr>
          <w:rFonts w:ascii="Calibri" w:hAnsi="Calibri"/>
          <w:color w:val="2F4E65"/>
          <w:sz w:val="22"/>
        </w:rPr>
        <w:t>Referenced by SOP 811 (increases), 812 (violations/dispossessory), 814 (deposits)</w:t>
      </w:r>
    </w:p>
    <w:p>
      <w:pPr>
        <w:pStyle w:val="Heading2"/>
      </w:pPr>
      <w:r>
        <w:rPr>
          <w:rFonts w:ascii="Calibri" w:hAnsi="Calibri"/>
          <w:color w:val="2F4E65"/>
          <w:sz w:val="24"/>
        </w:rPr>
        <w:t>Trigger</w:t>
      </w:r>
    </w:p>
    <w:p>
      <w:r>
        <w:rPr>
          <w:rFonts w:ascii="Calibri" w:hAnsi="Calibri"/>
          <w:b w:val="0"/>
          <w:color w:val="2F4E65"/>
          <w:sz w:val="22"/>
        </w:rPr>
        <w:t>Any Georgia SOP requires a resident notice.</w:t>
      </w:r>
    </w:p>
    <w:p>
      <w:pPr>
        <w:pStyle w:val="Heading2"/>
      </w:pPr>
      <w:r>
        <w:rPr>
          <w:rFonts w:ascii="Calibri" w:hAnsi="Calibri"/>
          <w:color w:val="2F4E65"/>
          <w:sz w:val="24"/>
        </w:rPr>
        <w:t>Finish Line</w:t>
      </w:r>
    </w:p>
    <w:p>
      <w:r>
        <w:rPr>
          <w:rFonts w:ascii="Calibri" w:hAnsi="Calibri"/>
          <w:b w:val="0"/>
          <w:color w:val="2F4E65"/>
          <w:sz w:val="22"/>
        </w:rPr>
        <w:t>Notice served by the required method with same-day proof in Rent Manager.</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Operations Coordinator</w:t>
            </w:r>
          </w:p>
        </w:tc>
        <w:tc>
          <w:tcPr>
            <w:tcW w:type="dxa" w:w="6768"/>
          </w:tcPr>
          <w:p>
            <w:r/>
            <w:r>
              <w:rPr>
                <w:rFonts w:ascii="Calibri" w:hAnsi="Calibri"/>
                <w:b w:val="0"/>
                <w:color w:val="2F4E65"/>
                <w:sz w:val="20"/>
              </w:rPr>
              <w:t>Generates from approved Georgia templates</w:t>
            </w:r>
          </w:p>
        </w:tc>
      </w:tr>
      <w:tr>
        <w:tc>
          <w:tcPr>
            <w:tcW w:type="dxa" w:w="3168"/>
            <w:shd w:val="clear" w:fill="F5F7F8"/>
          </w:tcPr>
          <w:p>
            <w:r/>
            <w:r>
              <w:rPr>
                <w:rFonts w:ascii="Calibri" w:hAnsi="Calibri"/>
                <w:b w:val="0"/>
                <w:color w:val="2F4E65"/>
                <w:sz w:val="20"/>
              </w:rPr>
              <w:t>Community Manager</w:t>
            </w:r>
          </w:p>
        </w:tc>
        <w:tc>
          <w:tcPr>
            <w:tcW w:type="dxa" w:w="6768"/>
            <w:shd w:val="clear" w:fill="F5F7F8"/>
          </w:tcPr>
          <w:p>
            <w:r/>
            <w:r>
              <w:rPr>
                <w:rFonts w:ascii="Calibri" w:hAnsi="Calibri"/>
                <w:b w:val="0"/>
                <w:color w:val="2F4E65"/>
                <w:sz w:val="20"/>
              </w:rPr>
              <w:t>Serves, photographs, uploads proof same day</w:t>
            </w:r>
          </w:p>
        </w:tc>
      </w:tr>
      <w:tr>
        <w:tc>
          <w:tcPr>
            <w:tcW w:type="dxa" w:w="3168"/>
          </w:tcPr>
          <w:p>
            <w:r/>
            <w:r>
              <w:rPr>
                <w:rFonts w:ascii="Calibri" w:hAnsi="Calibri"/>
                <w:b w:val="0"/>
                <w:color w:val="2F4E65"/>
                <w:sz w:val="20"/>
              </w:rPr>
              <w:t>Regional Manager</w:t>
            </w:r>
          </w:p>
        </w:tc>
        <w:tc>
          <w:tcPr>
            <w:tcW w:type="dxa" w:w="6768"/>
          </w:tcPr>
          <w:p>
            <w:r/>
            <w:r>
              <w:rPr>
                <w:rFonts w:ascii="Calibri" w:hAnsi="Calibri"/>
                <w:b w:val="0"/>
                <w:color w:val="2F4E65"/>
                <w:sz w:val="20"/>
              </w:rPr>
              <w:t>Weekly proof-of-service audit</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Template owner; lease delivery-clause matrix by community</w:t>
            </w:r>
          </w:p>
        </w:tc>
      </w:tr>
    </w:tbl>
    <w:p>
      <w:pPr>
        <w:pStyle w:val="Heading1"/>
      </w:pPr>
      <w:r>
        <w:rPr>
          <w:rFonts w:ascii="Calibri" w:hAnsi="Calibri"/>
          <w:color w:val="2F4E65"/>
          <w:sz w:val="30"/>
        </w:rPr>
        <w:t>SERVICE STANDARDS MATRIX</w:t>
      </w:r>
    </w:p>
    <w:tbl>
      <w:tblPr>
        <w:tblStyle w:val="TableGrid"/>
        <w:tblW w:type="auto" w:w="0"/>
        <w:tblLook w:firstColumn="1" w:firstRow="1" w:lastColumn="0" w:lastRow="0" w:noHBand="0" w:noVBand="1" w:val="04A0"/>
      </w:tblPr>
      <w:tblGrid>
        <w:gridCol w:w="3312"/>
        <w:gridCol w:w="3312"/>
        <w:gridCol w:w="3312"/>
      </w:tblGrid>
      <w:tr>
        <w:tc>
          <w:tcPr>
            <w:tcW w:type="dxa" w:w="3744"/>
            <w:shd w:val="clear" w:fill="2F4E65"/>
          </w:tcPr>
          <w:p>
            <w:r/>
            <w:r>
              <w:rPr>
                <w:rFonts w:ascii="Calibri" w:hAnsi="Calibri"/>
                <w:b/>
                <w:color w:val="FFFFFF"/>
                <w:sz w:val="20"/>
              </w:rPr>
              <w:t>Notice Type</w:t>
            </w:r>
          </w:p>
        </w:tc>
        <w:tc>
          <w:tcPr>
            <w:tcW w:type="dxa" w:w="4176"/>
            <w:shd w:val="clear" w:fill="2F4E65"/>
          </w:tcPr>
          <w:p>
            <w:r/>
            <w:r>
              <w:rPr>
                <w:rFonts w:ascii="Calibri" w:hAnsi="Calibri"/>
                <w:b/>
                <w:color w:val="FFFFFF"/>
                <w:sz w:val="20"/>
              </w:rPr>
              <w:t>Required Method</w:t>
            </w:r>
          </w:p>
        </w:tc>
        <w:tc>
          <w:tcPr>
            <w:tcW w:type="dxa" w:w="2016"/>
            <w:shd w:val="clear" w:fill="2F4E65"/>
          </w:tcPr>
          <w:p>
            <w:r/>
            <w:r>
              <w:rPr>
                <w:rFonts w:ascii="Calibri" w:hAnsi="Calibri"/>
                <w:b/>
                <w:color w:val="FFFFFF"/>
                <w:sz w:val="20"/>
              </w:rPr>
              <w:t>Citation</w:t>
            </w:r>
          </w:p>
        </w:tc>
      </w:tr>
      <w:tr>
        <w:tc>
          <w:tcPr>
            <w:tcW w:type="dxa" w:w="3744"/>
          </w:tcPr>
          <w:p>
            <w:r/>
            <w:r>
              <w:rPr>
                <w:rFonts w:ascii="Calibri" w:hAnsi="Calibri"/>
                <w:b w:val="0"/>
                <w:color w:val="2F4E65"/>
                <w:sz w:val="20"/>
              </w:rPr>
              <w:t>Pre-dispossessory: demand for possession / 3-business-day notice to vacate or pay</w:t>
            </w:r>
          </w:p>
        </w:tc>
        <w:tc>
          <w:tcPr>
            <w:tcW w:type="dxa" w:w="4176"/>
          </w:tcPr>
          <w:p>
            <w:r/>
            <w:r>
              <w:rPr>
                <w:rFonts w:ascii="Calibri" w:hAnsi="Calibri"/>
                <w:b w:val="0"/>
                <w:color w:val="2F4E65"/>
                <w:sz w:val="20"/>
              </w:rPr>
              <w:t>Sealed envelope posted conspicuously on the door + every additional method the lease specifies</w:t>
            </w:r>
          </w:p>
        </w:tc>
        <w:tc>
          <w:tcPr>
            <w:tcW w:type="dxa" w:w="2016"/>
          </w:tcPr>
          <w:p>
            <w:r/>
            <w:r>
              <w:rPr>
                <w:rFonts w:ascii="Calibri" w:hAnsi="Calibri"/>
                <w:b w:val="0"/>
                <w:color w:val="2F4E65"/>
                <w:sz w:val="20"/>
              </w:rPr>
              <w:t>O.C.G.A. 44-7-50</w:t>
            </w:r>
          </w:p>
        </w:tc>
      </w:tr>
      <w:tr>
        <w:tc>
          <w:tcPr>
            <w:tcW w:type="dxa" w:w="3744"/>
            <w:shd w:val="clear" w:fill="F5F7F8"/>
          </w:tcPr>
          <w:p>
            <w:r/>
            <w:r>
              <w:rPr>
                <w:rFonts w:ascii="Calibri" w:hAnsi="Calibri"/>
                <w:b w:val="0"/>
                <w:color w:val="2F4E65"/>
                <w:sz w:val="20"/>
              </w:rPr>
              <w:t>Rent increase / term change / termination of tenancy at will (60-day)</w:t>
            </w:r>
          </w:p>
        </w:tc>
        <w:tc>
          <w:tcPr>
            <w:tcW w:type="dxa" w:w="4176"/>
            <w:shd w:val="clear" w:fill="F5F7F8"/>
          </w:tcPr>
          <w:p>
            <w:r/>
            <w:r>
              <w:rPr>
                <w:rFonts w:ascii="Calibri" w:hAnsi="Calibri"/>
                <w:b w:val="0"/>
                <w:color w:val="2F4E65"/>
                <w:sz w:val="20"/>
              </w:rPr>
              <w:t>Per lease method; Parakeet default = hand delivery w/ acknowledgment + first-class mail w/ certificate of mailing</w:t>
            </w:r>
          </w:p>
        </w:tc>
        <w:tc>
          <w:tcPr>
            <w:tcW w:type="dxa" w:w="2016"/>
            <w:shd w:val="clear" w:fill="F5F7F8"/>
          </w:tcPr>
          <w:p>
            <w:r/>
            <w:r>
              <w:rPr>
                <w:rFonts w:ascii="Calibri" w:hAnsi="Calibri"/>
                <w:b w:val="0"/>
                <w:color w:val="2F4E65"/>
                <w:sz w:val="20"/>
              </w:rPr>
              <w:t>O.C.G.A. 44-7-7; lease</w:t>
            </w:r>
          </w:p>
        </w:tc>
      </w:tr>
      <w:tr>
        <w:tc>
          <w:tcPr>
            <w:tcW w:type="dxa" w:w="3744"/>
          </w:tcPr>
          <w:p>
            <w:r/>
            <w:r>
              <w:rPr>
                <w:rFonts w:ascii="Calibri" w:hAnsi="Calibri"/>
                <w:b w:val="0"/>
                <w:color w:val="2F4E65"/>
                <w:sz w:val="20"/>
              </w:rPr>
              <w:t>Violation / cure notices (non-rent)</w:t>
            </w:r>
          </w:p>
        </w:tc>
        <w:tc>
          <w:tcPr>
            <w:tcW w:type="dxa" w:w="4176"/>
          </w:tcPr>
          <w:p>
            <w:r/>
            <w:r>
              <w:rPr>
                <w:rFonts w:ascii="Calibri" w:hAnsi="Calibri"/>
                <w:b w:val="0"/>
                <w:color w:val="2F4E65"/>
                <w:sz w:val="20"/>
              </w:rPr>
              <w:t>Per lease clause; default = same dual method as above</w:t>
            </w:r>
          </w:p>
        </w:tc>
        <w:tc>
          <w:tcPr>
            <w:tcW w:type="dxa" w:w="2016"/>
          </w:tcPr>
          <w:p>
            <w:r/>
            <w:r>
              <w:rPr>
                <w:rFonts w:ascii="Calibri" w:hAnsi="Calibri"/>
                <w:b w:val="0"/>
                <w:color w:val="2F4E65"/>
                <w:sz w:val="20"/>
              </w:rPr>
              <w:t>Lease</w:t>
            </w:r>
          </w:p>
        </w:tc>
      </w:tr>
      <w:tr>
        <w:tc>
          <w:tcPr>
            <w:tcW w:type="dxa" w:w="3744"/>
            <w:shd w:val="clear" w:fill="F5F7F8"/>
          </w:tcPr>
          <w:p>
            <w:r/>
            <w:r>
              <w:rPr>
                <w:rFonts w:ascii="Calibri" w:hAnsi="Calibri"/>
                <w:b w:val="0"/>
                <w:color w:val="2F4E65"/>
                <w:sz w:val="20"/>
              </w:rPr>
              <w:t>Security deposit statement + refund</w:t>
            </w:r>
          </w:p>
        </w:tc>
        <w:tc>
          <w:tcPr>
            <w:tcW w:type="dxa" w:w="4176"/>
            <w:shd w:val="clear" w:fill="F5F7F8"/>
          </w:tcPr>
          <w:p>
            <w:r/>
            <w:r>
              <w:rPr>
                <w:rFonts w:ascii="Calibri" w:hAnsi="Calibri"/>
                <w:b w:val="0"/>
                <w:color w:val="2F4E65"/>
                <w:sz w:val="20"/>
              </w:rPr>
              <w:t>First-class mail to last known address; if returned and tenant unlocatable after reasonable effort, funds become landlord property 90 days post-mailing</w:t>
            </w:r>
          </w:p>
        </w:tc>
        <w:tc>
          <w:tcPr>
            <w:tcW w:type="dxa" w:w="2016"/>
            <w:shd w:val="clear" w:fill="F5F7F8"/>
          </w:tcPr>
          <w:p>
            <w:r/>
            <w:r>
              <w:rPr>
                <w:rFonts w:ascii="Calibri" w:hAnsi="Calibri"/>
                <w:b w:val="0"/>
                <w:color w:val="2F4E65"/>
                <w:sz w:val="20"/>
              </w:rPr>
              <w:t>O.C.G.A. 44-7-34</w:t>
            </w:r>
          </w:p>
        </w:tc>
      </w:tr>
    </w:tbl>
    <w:p>
      <w:pPr>
        <w:pStyle w:val="Heading1"/>
      </w:pPr>
      <w:r>
        <w:rPr>
          <w:rFonts w:ascii="Calibri" w:hAnsi="Calibri"/>
          <w:color w:val="2F4E65"/>
          <w:sz w:val="30"/>
        </w:rPr>
        <w:t>PROCEDURE</w:t>
      </w:r>
    </w:p>
    <w:p>
      <w:pPr>
        <w:pStyle w:val="ListNumber"/>
      </w:pPr>
      <w:r>
        <w:rPr>
          <w:rFonts w:ascii="Calibri" w:hAnsi="Calibri"/>
          <w:color w:val="2F4E65"/>
          <w:sz w:val="22"/>
        </w:rPr>
        <w:t>Generate from the approved Georgia template; verify legal name, lot/unit, amounts, dates, and BUSINESS-day counting for 3-day notices (skip weekends and legal holidays).</w:t>
      </w:r>
    </w:p>
    <w:p>
      <w:pPr>
        <w:pStyle w:val="ListNumber"/>
      </w:pPr>
      <w:r>
        <w:rPr>
          <w:rFonts w:ascii="Calibri" w:hAnsi="Calibri"/>
          <w:color w:val="2F4E65"/>
          <w:sz w:val="22"/>
        </w:rPr>
        <w:t>Regional Manager approval before service for demand, 3-day, 60-day, violation, and deposit-claim notices.</w:t>
      </w:r>
    </w:p>
    <w:p>
      <w:pPr>
        <w:pStyle w:val="ListNumber"/>
      </w:pPr>
      <w:r>
        <w:rPr>
          <w:rFonts w:ascii="Calibri" w:hAnsi="Calibri"/>
          <w:color w:val="2F4E65"/>
          <w:sz w:val="22"/>
        </w:rPr>
        <w:t>Serve by the matrix method. Door postings: sealed envelope, resident name on front, notice inside; photograph the posted envelope with date visible.</w:t>
      </w:r>
    </w:p>
    <w:p>
      <w:pPr>
        <w:pStyle w:val="ListNumber"/>
      </w:pPr>
      <w:r>
        <w:rPr>
          <w:rFonts w:ascii="Calibri" w:hAnsi="Calibri"/>
          <w:color w:val="2F4E65"/>
          <w:sz w:val="22"/>
        </w:rPr>
        <w:t>Upload SAME DAY to Rent Manager History &amp; Notes + SharePoint Legal Notices: notice PDF, photo, mail receipts. Naming: [YYYY-MM-DD] [Notice Type] [Lot] [Resident].</w:t>
      </w:r>
    </w:p>
    <w:p>
      <w:pPr>
        <w:pStyle w:val="ListNumber"/>
      </w:pPr>
      <w:r>
        <w:rPr>
          <w:rFonts w:ascii="Calibri" w:hAnsi="Calibri"/>
          <w:color w:val="2F4E65"/>
          <w:sz w:val="22"/>
        </w:rPr>
        <w:t>Calendar the deadline; for mailed-only service, add mailing time conservatively (3 business days internal standard).</w:t>
      </w:r>
    </w:p>
    <w:p>
      <w:pPr>
        <w:pStyle w:val="ListNumber"/>
      </w:pPr>
      <w:r>
        <w:rPr>
          <w:rFonts w:ascii="Calibri" w:hAnsi="Calibri"/>
          <w:color w:val="2F4E65"/>
          <w:sz w:val="22"/>
        </w:rPr>
        <w:t>Regional Manager — weekly audit; incomplete proof = re-serve before escalation.</w:t>
      </w:r>
    </w:p>
    <w:p>
      <w:pPr>
        <w:pStyle w:val="Heading1"/>
      </w:pPr>
      <w:r>
        <w:rPr>
          <w:rFonts w:ascii="Calibri" w:hAnsi="Calibri"/>
          <w:color w:val="2F4E65"/>
          <w:sz w:val="30"/>
        </w:rPr>
        <w:t>PROHIBITED SHORTCUTS</w:t>
      </w:r>
    </w:p>
    <w:p>
      <w:pPr>
        <w:pStyle w:val="ListBullet"/>
      </w:pPr>
      <w:r>
        <w:rPr>
          <w:rFonts w:ascii="Calibri" w:hAnsi="Calibri"/>
          <w:color w:val="2F4E65"/>
          <w:sz w:val="22"/>
        </w:rPr>
        <w:t>No text/email-only service unless the lease explicitly authorizes it for that notice type.</w:t>
      </w:r>
    </w:p>
    <w:p>
      <w:pPr>
        <w:pStyle w:val="ListBullet"/>
      </w:pPr>
      <w:r>
        <w:rPr>
          <w:rFonts w:ascii="Calibri" w:hAnsi="Calibri"/>
          <w:color w:val="2F4E65"/>
          <w:sz w:val="22"/>
        </w:rPr>
        <w:t>No unsealed door postings for pre-dispossessory notices — the statute says sealed envelope.</w:t>
      </w:r>
    </w:p>
    <w:p>
      <w:pPr>
        <w:pStyle w:val="ListBullet"/>
      </w:pPr>
      <w:r>
        <w:rPr>
          <w:rFonts w:ascii="Calibri" w:hAnsi="Calibri"/>
          <w:color w:val="2F4E65"/>
          <w:sz w:val="22"/>
        </w:rPr>
        <w:t>No backdating; notice date, photo date, and postmark must agree.</w:t>
      </w:r>
    </w:p>
    <w:p/>
    <w:p>
      <w:r>
        <w:rPr>
          <w:rFonts w:ascii="Calibri" w:hAnsi="Calibri"/>
          <w:color w:val="8FA3B2"/>
          <w:sz w:val="18"/>
        </w:rPr>
        <w:t>Draft prepared from the current Official Code of Georgia Annotated (Title 44, Chapter 7), including the 2024 amendments effective for leases entered into or renewed on or after July 1, 2024, and existing Parakeet SOPs.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F307058-32DC-4A96-A86D-47898D640643}"/>
</file>

<file path=customXml/itemProps3.xml><?xml version="1.0" encoding="utf-8"?>
<ds:datastoreItem xmlns:ds="http://schemas.openxmlformats.org/officeDocument/2006/customXml" ds:itemID="{2C211E91-2C31-4484-8781-865B42A534C4}"/>
</file>

<file path=customXml/itemProps4.xml><?xml version="1.0" encoding="utf-8"?>
<ds:datastoreItem xmlns:ds="http://schemas.openxmlformats.org/officeDocument/2006/customXml" ds:itemID="{21EF29A5-6E08-415C-89CB-FFBA8331F8E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