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814: Security Deposit Handling &amp; Refund (GA)</w:t>
      </w:r>
    </w:p>
    <w:p>
      <w:r>
        <w:rPr>
          <w:rFonts w:ascii="Calibri" w:hAnsi="Calibri"/>
          <w:b/>
          <w:color w:val="4ABA81"/>
          <w:sz w:val="26"/>
        </w:rPr>
        <w:t>Parakeet Communities  ·  Georgia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Accounting / Finance — GEORGIA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GEORGIA communities only (Florida set: SOP 801-806; South Carolina set: SOP 821-824)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O.C.G.A. 44-7-30 through 44-7-37 (escrow/bond, inspection lists, 30-day return, damages)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O.C.G.A. Title 44, Chapter 7 (incl. 2024 amendments)</w:t>
            </w:r>
          </w:p>
        </w:tc>
      </w:tr>
    </w:tbl>
    <w:p/>
    <w:p>
      <w:r>
        <w:rPr>
          <w:rFonts w:ascii="Calibri" w:hAnsi="Calibri"/>
          <w:b/>
          <w:color w:val="F16262"/>
          <w:sz w:val="18"/>
        </w:rPr>
        <w:t>LEGAL REVIEW REQUIRED: This SOP restates timelines from O.C.G.A. Title 44, Chapter 7, including the 2024 amendments effective for leases entered into or renewed on or after July 1, 2024. Georgia counsel must review and approve before rollout. Where a lease is more specific than statute, the lease controls.</w:t>
      </w:r>
    </w:p>
    <w:p>
      <w:pPr>
        <w:pStyle w:val="Heading1"/>
      </w:pPr>
      <w:r>
        <w:rPr>
          <w:rFonts w:ascii="Calibri" w:hAnsi="Calibri"/>
          <w:color w:val="2F4E65"/>
          <w:sz w:val="30"/>
        </w:rPr>
        <w:t>PURPOSE</w:t>
      </w:r>
    </w:p>
    <w:p>
      <w:r>
        <w:rPr>
          <w:rFonts w:ascii="Calibri" w:hAnsi="Calibri"/>
          <w:b w:val="0"/>
          <w:color w:val="2F4E65"/>
          <w:sz w:val="22"/>
        </w:rPr>
        <w:t>To hold and return Georgia deposits per O.C.G.A. 44-7-30 through 44-7-37. Georgia's regime is inspection-list-driven: no compliant move-in and move-out lists, no right to retain a dime. Bad-faith retention costs three times the amount withheld plus attorney fees.</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Georgia communities — park-owned home rentals and lot deposits</w:t>
      </w:r>
    </w:p>
    <w:p>
      <w:pPr>
        <w:pStyle w:val="ListBullet"/>
      </w:pPr>
      <w:r>
        <w:rPr>
          <w:rFonts w:ascii="Calibri" w:hAnsi="Calibri"/>
          <w:color w:val="2F4E65"/>
          <w:sz w:val="22"/>
        </w:rPr>
        <w:t>Parakeet manages through agents/employees at scale, so the small-landlord exemption does NOT apply — full escrow and inspection-list compliance required</w:t>
      </w:r>
    </w:p>
    <w:p>
      <w:pPr>
        <w:pStyle w:val="Heading2"/>
      </w:pPr>
      <w:r>
        <w:rPr>
          <w:rFonts w:ascii="Calibri" w:hAnsi="Calibri"/>
          <w:color w:val="2F4E65"/>
          <w:sz w:val="24"/>
        </w:rPr>
        <w:t>Trigger</w:t>
      </w:r>
    </w:p>
    <w:p>
      <w:r>
        <w:rPr>
          <w:rFonts w:ascii="Calibri" w:hAnsi="Calibri"/>
          <w:b w:val="0"/>
          <w:color w:val="2F4E65"/>
          <w:sz w:val="22"/>
        </w:rPr>
        <w:t>A deposit is received, or a Georgia tenancy terminates.</w:t>
      </w:r>
    </w:p>
    <w:p>
      <w:pPr>
        <w:pStyle w:val="Heading2"/>
      </w:pPr>
      <w:r>
        <w:rPr>
          <w:rFonts w:ascii="Calibri" w:hAnsi="Calibri"/>
          <w:color w:val="2F4E65"/>
          <w:sz w:val="24"/>
        </w:rPr>
        <w:t>Finish Line</w:t>
      </w:r>
    </w:p>
    <w:p>
      <w:r>
        <w:rPr>
          <w:rFonts w:ascii="Calibri" w:hAnsi="Calibri"/>
          <w:b w:val="0"/>
          <w:color w:val="2F4E65"/>
          <w:sz w:val="22"/>
        </w:rPr>
        <w:t>Deposit refunded or lawfully retained with a compliant written statement, documented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Accounting / Finance</w:t>
            </w:r>
          </w:p>
        </w:tc>
        <w:tc>
          <w:tcPr>
            <w:tcW w:type="dxa" w:w="6768"/>
          </w:tcPr>
          <w:p>
            <w:r/>
            <w:r>
              <w:rPr>
                <w:rFonts w:ascii="Calibri" w:hAnsi="Calibri"/>
                <w:b w:val="0"/>
                <w:color w:val="2F4E65"/>
                <w:sz w:val="20"/>
              </w:rPr>
              <w:t>Holds all GA deposits in the designated Georgia escrow account (or maintains the surety bond); issues refunds and statements</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Move-in and move-out inspection lists; damage pricing; timeline execution</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Approves every retention; weekly clock audit</w:t>
            </w:r>
          </w:p>
        </w:tc>
      </w:tr>
      <w:tr>
        <w:tc>
          <w:tcPr>
            <w:tcW w:type="dxa" w:w="3168"/>
            <w:shd w:val="clear" w:fill="F5F7F8"/>
          </w:tcPr>
          <w:p>
            <w:r/>
            <w:r>
              <w:rPr>
                <w:rFonts w:ascii="Calibri" w:hAnsi="Calibri"/>
                <w:b w:val="0"/>
                <w:color w:val="2F4E65"/>
                <w:sz w:val="20"/>
              </w:rPr>
              <w:t>Operations Coordinator</w:t>
            </w:r>
          </w:p>
        </w:tc>
        <w:tc>
          <w:tcPr>
            <w:tcW w:type="dxa" w:w="6768"/>
            <w:shd w:val="clear" w:fill="F5F7F8"/>
          </w:tcPr>
          <w:p>
            <w:r/>
            <w:r>
              <w:rPr>
                <w:rFonts w:ascii="Calibri" w:hAnsi="Calibri"/>
                <w:b w:val="0"/>
                <w:color w:val="2F4E65"/>
                <w:sz w:val="20"/>
              </w:rPr>
              <w:t>Templates and calendar</w:t>
            </w:r>
          </w:p>
        </w:tc>
      </w:tr>
    </w:tbl>
    <w:p>
      <w:pPr>
        <w:pStyle w:val="Heading1"/>
      </w:pPr>
      <w:r>
        <w:rPr>
          <w:rFonts w:ascii="Calibri" w:hAnsi="Calibri"/>
          <w:color w:val="2F4E65"/>
          <w:sz w:val="30"/>
        </w:rPr>
        <w:t>GEORGIA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Holding</w:t>
            </w:r>
          </w:p>
        </w:tc>
        <w:tc>
          <w:tcPr>
            <w:tcW w:type="dxa" w:w="3888"/>
          </w:tcPr>
          <w:p>
            <w:r/>
            <w:r>
              <w:rPr>
                <w:rFonts w:ascii="Calibri" w:hAnsi="Calibri"/>
                <w:b w:val="0"/>
                <w:color w:val="2F4E65"/>
                <w:sz w:val="20"/>
              </w:rPr>
              <w:t>Escrow account in a Georgia-regulated depository (tenant informed of location) OR surety bond posted with the superior court clerk</w:t>
            </w:r>
          </w:p>
        </w:tc>
        <w:tc>
          <w:tcPr>
            <w:tcW w:type="dxa" w:w="2160"/>
          </w:tcPr>
          <w:p>
            <w:r/>
            <w:r>
              <w:rPr>
                <w:rFonts w:ascii="Calibri" w:hAnsi="Calibri"/>
                <w:b w:val="0"/>
                <w:color w:val="2F4E65"/>
                <w:sz w:val="20"/>
              </w:rPr>
              <w:t>O.C.G.A. 44-7-31, 44-7-32</w:t>
            </w:r>
          </w:p>
        </w:tc>
      </w:tr>
      <w:tr>
        <w:tc>
          <w:tcPr>
            <w:tcW w:type="dxa" w:w="3888"/>
            <w:shd w:val="clear" w:fill="F5F7F8"/>
          </w:tcPr>
          <w:p>
            <w:r/>
            <w:r>
              <w:rPr>
                <w:rFonts w:ascii="Calibri" w:hAnsi="Calibri"/>
                <w:b w:val="0"/>
                <w:color w:val="2F4E65"/>
                <w:sz w:val="20"/>
              </w:rPr>
              <w:t>Move-in list</w:t>
            </w:r>
          </w:p>
        </w:tc>
        <w:tc>
          <w:tcPr>
            <w:tcW w:type="dxa" w:w="3888"/>
            <w:shd w:val="clear" w:fill="F5F7F8"/>
          </w:tcPr>
          <w:p>
            <w:r/>
            <w:r>
              <w:rPr>
                <w:rFonts w:ascii="Calibri" w:hAnsi="Calibri"/>
                <w:b w:val="0"/>
                <w:color w:val="2F4E65"/>
                <w:sz w:val="20"/>
              </w:rPr>
              <w:t>Written list of existing damage BEFORE collecting the deposit; tenant signs / gets the chance to inspect and dissent</w:t>
            </w:r>
          </w:p>
        </w:tc>
        <w:tc>
          <w:tcPr>
            <w:tcW w:type="dxa" w:w="2160"/>
            <w:shd w:val="clear" w:fill="F5F7F8"/>
          </w:tcPr>
          <w:p>
            <w:r/>
            <w:r>
              <w:rPr>
                <w:rFonts w:ascii="Calibri" w:hAnsi="Calibri"/>
                <w:b w:val="0"/>
                <w:color w:val="2F4E65"/>
                <w:sz w:val="20"/>
              </w:rPr>
              <w:t>O.C.G.A. 44-7-33</w:t>
            </w:r>
          </w:p>
        </w:tc>
      </w:tr>
      <w:tr>
        <w:tc>
          <w:tcPr>
            <w:tcW w:type="dxa" w:w="3888"/>
          </w:tcPr>
          <w:p>
            <w:r/>
            <w:r>
              <w:rPr>
                <w:rFonts w:ascii="Calibri" w:hAnsi="Calibri"/>
                <w:b w:val="0"/>
                <w:color w:val="2F4E65"/>
                <w:sz w:val="20"/>
              </w:rPr>
              <w:t>Move-out inspection &amp; list</w:t>
            </w:r>
          </w:p>
        </w:tc>
        <w:tc>
          <w:tcPr>
            <w:tcW w:type="dxa" w:w="3888"/>
          </w:tcPr>
          <w:p>
            <w:r/>
            <w:r>
              <w:rPr>
                <w:rFonts w:ascii="Calibri" w:hAnsi="Calibri"/>
                <w:b w:val="0"/>
                <w:color w:val="2F4E65"/>
                <w:sz w:val="20"/>
              </w:rPr>
              <w:t>Inspect within three business days after termination of occupancy; compile a comprehensive list of damage; tenant may inspect within five business days and sign or dissent</w:t>
            </w:r>
          </w:p>
        </w:tc>
        <w:tc>
          <w:tcPr>
            <w:tcW w:type="dxa" w:w="2160"/>
          </w:tcPr>
          <w:p>
            <w:r/>
            <w:r>
              <w:rPr>
                <w:rFonts w:ascii="Calibri" w:hAnsi="Calibri"/>
                <w:b w:val="0"/>
                <w:color w:val="2F4E65"/>
                <w:sz w:val="20"/>
              </w:rPr>
              <w:t>O.C.G.A. 44-7-33</w:t>
            </w:r>
          </w:p>
        </w:tc>
      </w:tr>
      <w:tr>
        <w:tc>
          <w:tcPr>
            <w:tcW w:type="dxa" w:w="3888"/>
            <w:shd w:val="clear" w:fill="F5F7F8"/>
          </w:tcPr>
          <w:p>
            <w:r/>
            <w:r>
              <w:rPr>
                <w:rFonts w:ascii="Calibri" w:hAnsi="Calibri"/>
                <w:b w:val="0"/>
                <w:color w:val="2F4E65"/>
                <w:sz w:val="20"/>
              </w:rPr>
              <w:t>Return / statement deadline</w:t>
            </w:r>
          </w:p>
        </w:tc>
        <w:tc>
          <w:tcPr>
            <w:tcW w:type="dxa" w:w="3888"/>
            <w:shd w:val="clear" w:fill="F5F7F8"/>
          </w:tcPr>
          <w:p>
            <w:r/>
            <w:r>
              <w:rPr>
                <w:rFonts w:ascii="Calibri" w:hAnsi="Calibri"/>
                <w:b w:val="0"/>
                <w:color w:val="2F4E65"/>
                <w:sz w:val="20"/>
              </w:rPr>
              <w:t>Within 30 days of obtaining possession: return the deposit or deliver the written statement of exact reasons for retention + the damage list, by first-class mail</w:t>
            </w:r>
          </w:p>
        </w:tc>
        <w:tc>
          <w:tcPr>
            <w:tcW w:type="dxa" w:w="2160"/>
            <w:shd w:val="clear" w:fill="F5F7F8"/>
          </w:tcPr>
          <w:p>
            <w:r/>
            <w:r>
              <w:rPr>
                <w:rFonts w:ascii="Calibri" w:hAnsi="Calibri"/>
                <w:b w:val="0"/>
                <w:color w:val="2F4E65"/>
                <w:sz w:val="20"/>
              </w:rPr>
              <w:t>O.C.G.A. 44-7-34</w:t>
            </w:r>
          </w:p>
        </w:tc>
      </w:tr>
      <w:tr>
        <w:tc>
          <w:tcPr>
            <w:tcW w:type="dxa" w:w="3888"/>
          </w:tcPr>
          <w:p>
            <w:r/>
            <w:r>
              <w:rPr>
                <w:rFonts w:ascii="Calibri" w:hAnsi="Calibri"/>
                <w:b w:val="0"/>
                <w:color w:val="2F4E65"/>
                <w:sz w:val="20"/>
              </w:rPr>
              <w:t>Ordinary wear and tear</w:t>
            </w:r>
          </w:p>
        </w:tc>
        <w:tc>
          <w:tcPr>
            <w:tcW w:type="dxa" w:w="3888"/>
          </w:tcPr>
          <w:p>
            <w:r/>
            <w:r>
              <w:rPr>
                <w:rFonts w:ascii="Calibri" w:hAnsi="Calibri"/>
                <w:b w:val="0"/>
                <w:color w:val="2F4E65"/>
                <w:sz w:val="20"/>
              </w:rPr>
              <w:t>Cannot be retained for — only negligence, carelessness, accident, or abuse</w:t>
            </w:r>
          </w:p>
        </w:tc>
        <w:tc>
          <w:tcPr>
            <w:tcW w:type="dxa" w:w="2160"/>
          </w:tcPr>
          <w:p>
            <w:r/>
            <w:r>
              <w:rPr>
                <w:rFonts w:ascii="Calibri" w:hAnsi="Calibri"/>
                <w:b w:val="0"/>
                <w:color w:val="2F4E65"/>
                <w:sz w:val="20"/>
              </w:rPr>
              <w:t>O.C.G.A. 44-7-34</w:t>
            </w:r>
          </w:p>
        </w:tc>
      </w:tr>
      <w:tr>
        <w:tc>
          <w:tcPr>
            <w:tcW w:type="dxa" w:w="3888"/>
            <w:shd w:val="clear" w:fill="F5F7F8"/>
          </w:tcPr>
          <w:p>
            <w:r/>
            <w:r>
              <w:rPr>
                <w:rFonts w:ascii="Calibri" w:hAnsi="Calibri"/>
                <w:b w:val="0"/>
                <w:color w:val="2F4E65"/>
                <w:sz w:val="20"/>
              </w:rPr>
              <w:t>Returned mail</w:t>
            </w:r>
          </w:p>
        </w:tc>
        <w:tc>
          <w:tcPr>
            <w:tcW w:type="dxa" w:w="3888"/>
            <w:shd w:val="clear" w:fill="F5F7F8"/>
          </w:tcPr>
          <w:p>
            <w:r/>
            <w:r>
              <w:rPr>
                <w:rFonts w:ascii="Calibri" w:hAnsi="Calibri"/>
                <w:b w:val="0"/>
                <w:color w:val="2F4E65"/>
                <w:sz w:val="20"/>
              </w:rPr>
              <w:t>If statement/refund comes back undeliverable and tenant cannot be located after reasonable effort: funds become landlord property 90 days after mailing</w:t>
            </w:r>
          </w:p>
        </w:tc>
        <w:tc>
          <w:tcPr>
            <w:tcW w:type="dxa" w:w="2160"/>
            <w:shd w:val="clear" w:fill="F5F7F8"/>
          </w:tcPr>
          <w:p>
            <w:r/>
            <w:r>
              <w:rPr>
                <w:rFonts w:ascii="Calibri" w:hAnsi="Calibri"/>
                <w:b w:val="0"/>
                <w:color w:val="2F4E65"/>
                <w:sz w:val="20"/>
              </w:rPr>
              <w:t>O.C.G.A. 44-7-34</w:t>
            </w:r>
          </w:p>
        </w:tc>
      </w:tr>
      <w:tr>
        <w:tc>
          <w:tcPr>
            <w:tcW w:type="dxa" w:w="3888"/>
          </w:tcPr>
          <w:p>
            <w:r/>
            <w:r>
              <w:rPr>
                <w:rFonts w:ascii="Calibri" w:hAnsi="Calibri"/>
                <w:b w:val="0"/>
                <w:color w:val="2F4E65"/>
                <w:sz w:val="20"/>
              </w:rPr>
              <w:t>Penalty</w:t>
            </w:r>
          </w:p>
        </w:tc>
        <w:tc>
          <w:tcPr>
            <w:tcW w:type="dxa" w:w="3888"/>
          </w:tcPr>
          <w:p>
            <w:r/>
            <w:r>
              <w:rPr>
                <w:rFonts w:ascii="Calibri" w:hAnsi="Calibri"/>
                <w:b w:val="0"/>
                <w:color w:val="2F4E65"/>
                <w:sz w:val="20"/>
              </w:rPr>
              <w:t>Non-compliance forfeits the right to retain any portion; bad-faith retention = 3x damages + attorney fees</w:t>
            </w:r>
          </w:p>
        </w:tc>
        <w:tc>
          <w:tcPr>
            <w:tcW w:type="dxa" w:w="2160"/>
          </w:tcPr>
          <w:p>
            <w:r/>
            <w:r>
              <w:rPr>
                <w:rFonts w:ascii="Calibri" w:hAnsi="Calibri"/>
                <w:b w:val="0"/>
                <w:color w:val="2F4E65"/>
                <w:sz w:val="20"/>
              </w:rPr>
              <w:t>O.C.G.A. 44-7-35</w:t>
            </w:r>
          </w:p>
        </w:tc>
      </w:tr>
    </w:tbl>
    <w:p>
      <w:pPr>
        <w:pStyle w:val="Heading1"/>
      </w:pPr>
      <w:r>
        <w:rPr>
          <w:rFonts w:ascii="Calibri" w:hAnsi="Calibri"/>
          <w:color w:val="2F4E65"/>
          <w:sz w:val="30"/>
        </w:rPr>
        <w:t>PROCEDURE</w:t>
      </w:r>
    </w:p>
    <w:p>
      <w:pPr>
        <w:pStyle w:val="Heading2"/>
      </w:pPr>
      <w:r>
        <w:rPr>
          <w:rFonts w:ascii="Calibri" w:hAnsi="Calibri"/>
          <w:color w:val="2F4E65"/>
          <w:sz w:val="24"/>
        </w:rPr>
        <w:t>Phase 1 — Receipt</w:t>
      </w:r>
    </w:p>
    <w:p>
      <w:pPr>
        <w:pStyle w:val="ListNumber"/>
      </w:pPr>
      <w:r>
        <w:rPr>
          <w:rFonts w:ascii="Calibri" w:hAnsi="Calibri"/>
          <w:color w:val="2F4E65"/>
          <w:sz w:val="22"/>
        </w:rPr>
        <w:t>Community Manager — BEFORE accepting the deposit: complete the move-in condition list, resident signs (or notes dissent); upload to Rent Manager.</w:t>
      </w:r>
    </w:p>
    <w:p>
      <w:pPr>
        <w:pStyle w:val="ListNumber"/>
      </w:pPr>
      <w:r>
        <w:rPr>
          <w:rFonts w:ascii="Calibri" w:hAnsi="Calibri"/>
          <w:color w:val="2F4E65"/>
          <w:sz w:val="22"/>
        </w:rPr>
        <w:t>Accounting / Finance — deposits into the designated Georgia escrow account; lease discloses where the deposit is held.</w:t>
      </w:r>
    </w:p>
    <w:p>
      <w:pPr>
        <w:pStyle w:val="Heading2"/>
      </w:pPr>
      <w:r>
        <w:rPr>
          <w:rFonts w:ascii="Calibri" w:hAnsi="Calibri"/>
          <w:color w:val="2F4E65"/>
          <w:sz w:val="24"/>
        </w:rPr>
        <w:t>Phase 2 — Move-Out</w:t>
      </w:r>
    </w:p>
    <w:p>
      <w:pPr>
        <w:pStyle w:val="ListNumber"/>
      </w:pPr>
      <w:r>
        <w:rPr>
          <w:rFonts w:ascii="Calibri" w:hAnsi="Calibri"/>
          <w:color w:val="2F4E65"/>
          <w:sz w:val="22"/>
        </w:rPr>
        <w:t>Community Manager — inspects within THREE BUSINESS DAYS of termination of occupancy; compiles the comprehensive damage list with date-stamped photos against the move-in list.</w:t>
      </w:r>
    </w:p>
    <w:p>
      <w:pPr>
        <w:pStyle w:val="ListNumber"/>
      </w:pPr>
      <w:r>
        <w:rPr>
          <w:rFonts w:ascii="Calibri" w:hAnsi="Calibri"/>
          <w:color w:val="2F4E65"/>
          <w:sz w:val="22"/>
        </w:rPr>
        <w:t>Community Manager — offers the former resident the statutory inspection window (five business days) to review and sign or dissent; documents the attempt if unreachable.</w:t>
      </w:r>
    </w:p>
    <w:p>
      <w:pPr>
        <w:pStyle w:val="ListNumber"/>
      </w:pPr>
      <w:r>
        <w:rPr>
          <w:rFonts w:ascii="Calibri" w:hAnsi="Calibri"/>
          <w:color w:val="2F4E65"/>
          <w:sz w:val="22"/>
        </w:rPr>
        <w:t>Regional Manager — approves any retention by Day 10.</w:t>
      </w:r>
    </w:p>
    <w:p>
      <w:pPr>
        <w:pStyle w:val="Heading2"/>
      </w:pPr>
      <w:r>
        <w:rPr>
          <w:rFonts w:ascii="Calibri" w:hAnsi="Calibri"/>
          <w:color w:val="2F4E65"/>
          <w:sz w:val="24"/>
        </w:rPr>
        <w:t>Phase 3 — Refund or Retain  ·  hard stop Day 30</w:t>
      </w:r>
    </w:p>
    <w:p>
      <w:pPr>
        <w:pStyle w:val="ListNumber"/>
      </w:pPr>
      <w:r>
        <w:rPr>
          <w:rFonts w:ascii="Calibri" w:hAnsi="Calibri"/>
          <w:color w:val="2F4E65"/>
          <w:sz w:val="22"/>
        </w:rPr>
        <w:t>No retention: Accounting mails the full refund first-class within 30 days of possession (Day 25 internal deadline).</w:t>
      </w:r>
    </w:p>
    <w:p>
      <w:pPr>
        <w:pStyle w:val="ListNumber"/>
      </w:pPr>
      <w:r>
        <w:rPr>
          <w:rFonts w:ascii="Calibri" w:hAnsi="Calibri"/>
          <w:color w:val="2F4E65"/>
          <w:sz w:val="22"/>
        </w:rPr>
        <w:t>Retention: Accounting mails the refund balance + written statement of exact reasons + the damage list, first-class, within the same window.</w:t>
      </w:r>
    </w:p>
    <w:p>
      <w:pPr>
        <w:pStyle w:val="ListNumber"/>
      </w:pPr>
      <w:r>
        <w:rPr>
          <w:rFonts w:ascii="Calibri" w:hAnsi="Calibri"/>
          <w:color w:val="2F4E65"/>
          <w:sz w:val="22"/>
        </w:rPr>
        <w:t>Returned mail: hold unopened, document, attempt reasonable location effort; funds convert 90 days after mailing.</w:t>
      </w:r>
    </w:p>
    <w:p>
      <w:pPr>
        <w:pStyle w:val="ListNumber"/>
      </w:pPr>
      <w:r>
        <w:rPr>
          <w:rFonts w:ascii="Calibri" w:hAnsi="Calibri"/>
          <w:color w:val="2F4E65"/>
          <w:sz w:val="22"/>
        </w:rPr>
        <w:t>Everything to Rent Manager: lists, photos, statement, check number, mailing date.</w:t>
      </w:r>
    </w:p>
    <w:p>
      <w:pPr>
        <w:pStyle w:val="Heading1"/>
      </w:pPr>
      <w:r>
        <w:rPr>
          <w:rFonts w:ascii="Calibri" w:hAnsi="Calibri"/>
          <w:color w:val="2F4E65"/>
          <w:sz w:val="30"/>
        </w:rPr>
        <w:t>DOCUMENTATION &amp; RECORDKEEPING</w:t>
      </w:r>
    </w:p>
    <w:p>
      <w:pPr>
        <w:pStyle w:val="ListBullet"/>
      </w:pPr>
      <w:r>
        <w:rPr>
          <w:rFonts w:ascii="Calibri" w:hAnsi="Calibri"/>
          <w:color w:val="2F4E65"/>
          <w:sz w:val="22"/>
        </w:rPr>
        <w:t>Per deposit: move-in list, move-out list, photos, statement, mail proof, ledger. Weekly Regional Manager clock audit. Retention: 7 years.</w:t>
      </w:r>
    </w:p>
    <w:p/>
    <w:p>
      <w:r>
        <w:rPr>
          <w:rFonts w:ascii="Calibri" w:hAnsi="Calibri"/>
          <w:color w:val="8FA3B2"/>
          <w:sz w:val="18"/>
        </w:rPr>
        <w:t>Draft prepared from the current Official Code of Georgia Annotated (Title 44, Chapter 7), including the 2024 amendments effective for leases entered into or renewed on or after July 1, 2024, and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12CF7A-9381-4FDF-A400-D64667C49A9D}"/>
</file>

<file path=customXml/itemProps3.xml><?xml version="1.0" encoding="utf-8"?>
<ds:datastoreItem xmlns:ds="http://schemas.openxmlformats.org/officeDocument/2006/customXml" ds:itemID="{38CC0A2A-0EC5-4D7E-89F8-E4940300628C}"/>
</file>

<file path=customXml/itemProps4.xml><?xml version="1.0" encoding="utf-8"?>
<ds:datastoreItem xmlns:ds="http://schemas.openxmlformats.org/officeDocument/2006/customXml" ds:itemID="{0D76DDB5-73E1-465C-932A-C0C0FD668B7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