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641323" cy="502920"/>
            <wp:docPr id="1" name="Picture 1"/>
            <wp:cNvGraphicFramePr>
              <a:graphicFrameLocks noChangeAspect="1"/>
            </wp:cNvGraphicFramePr>
            <a:graphic>
              <a:graphicData uri="http://schemas.openxmlformats.org/drawingml/2006/picture">
                <pic:pic>
                  <pic:nvPicPr>
                    <pic:cNvPr id="0" name="logo_with_tagline.png"/>
                    <pic:cNvPicPr/>
                  </pic:nvPicPr>
                  <pic:blipFill>
                    <a:blip r:embed="rId9"/>
                    <a:stretch>
                      <a:fillRect/>
                    </a:stretch>
                  </pic:blipFill>
                  <pic:spPr>
                    <a:xfrm>
                      <a:off x="0" y="0"/>
                      <a:ext cx="1641323" cy="502920"/>
                    </a:xfrm>
                    <a:prstGeom prst="rect"/>
                  </pic:spPr>
                </pic:pic>
              </a:graphicData>
            </a:graphic>
          </wp:inline>
        </w:drawing>
      </w:r>
    </w:p>
    <w:p>
      <w:r>
        <w:rPr>
          <w:rFonts w:ascii="Calibri" w:hAnsi="Calibri"/>
          <w:b/>
          <w:color w:val="2F4E65"/>
          <w:sz w:val="44"/>
        </w:rPr>
        <w:t>Operational Procedure 821: Rent Increase &amp; Rental Agreement Requirements (SC)</w:t>
      </w:r>
    </w:p>
    <w:p>
      <w:r>
        <w:rPr>
          <w:rFonts w:ascii="Calibri" w:hAnsi="Calibri"/>
          <w:b/>
          <w:color w:val="4ABA81"/>
          <w:sz w:val="26"/>
        </w:rPr>
        <w:t>Parakeet Communities  ·  South Carolina Compliance SOP</w:t>
      </w:r>
    </w:p>
    <w:tbl>
      <w:tblPr>
        <w:tblStyle w:val="TableGrid"/>
        <w:tblW w:type="auto" w:w="0"/>
        <w:tblLook w:firstColumn="1" w:firstRow="1" w:lastColumn="0" w:lastRow="0" w:noHBand="0" w:noVBand="1" w:val="04A0"/>
      </w:tblPr>
      <w:tblGrid>
        <w:gridCol w:w="4968"/>
        <w:gridCol w:w="4968"/>
      </w:tblGrid>
      <w:tr>
        <w:tc>
          <w:tcPr>
            <w:tcW w:type="dxa" w:w="2448"/>
            <w:shd w:val="clear" w:fill="2F4E65"/>
          </w:tcPr>
          <w:p>
            <w:r/>
            <w:r>
              <w:rPr>
                <w:rFonts w:ascii="Calibri" w:hAnsi="Calibri"/>
                <w:b/>
                <w:color w:val="FFFFFF"/>
                <w:sz w:val="20"/>
              </w:rPr>
              <w:t>Process Owner</w:t>
            </w:r>
          </w:p>
        </w:tc>
        <w:tc>
          <w:tcPr>
            <w:tcW w:type="dxa" w:w="7488"/>
          </w:tcPr>
          <w:p>
            <w:r/>
            <w:r>
              <w:rPr>
                <w:rFonts w:ascii="Calibri" w:hAnsi="Calibri"/>
                <w:b w:val="0"/>
                <w:color w:val="2F4E65"/>
                <w:sz w:val="20"/>
              </w:rPr>
              <w:t>Natalie Magurne, Director of Operations</w:t>
            </w:r>
          </w:p>
        </w:tc>
      </w:tr>
      <w:tr>
        <w:tc>
          <w:tcPr>
            <w:tcW w:type="dxa" w:w="2448"/>
            <w:shd w:val="clear" w:fill="2F4E65"/>
          </w:tcPr>
          <w:p>
            <w:r/>
            <w:r>
              <w:rPr>
                <w:rFonts w:ascii="Calibri" w:hAnsi="Calibri"/>
                <w:b/>
                <w:color w:val="FFFFFF"/>
                <w:sz w:val="20"/>
              </w:rPr>
              <w:t>Applies To</w:t>
            </w:r>
          </w:p>
        </w:tc>
        <w:tc>
          <w:tcPr>
            <w:tcW w:type="dxa" w:w="7488"/>
          </w:tcPr>
          <w:p>
            <w:r/>
            <w:r>
              <w:rPr>
                <w:rFonts w:ascii="Calibri" w:hAnsi="Calibri"/>
                <w:b w:val="0"/>
                <w:color w:val="2F4E65"/>
                <w:sz w:val="20"/>
              </w:rPr>
              <w:t>Asset Management / Finance, Legal / Compliance, Regional Managers, Community Managers — SOUTH CAROLINA communities</w:t>
            </w:r>
          </w:p>
        </w:tc>
      </w:tr>
      <w:tr>
        <w:tc>
          <w:tcPr>
            <w:tcW w:type="dxa" w:w="2448"/>
            <w:shd w:val="clear" w:fill="2F4E65"/>
          </w:tcPr>
          <w:p>
            <w:r/>
            <w:r>
              <w:rPr>
                <w:rFonts w:ascii="Calibri" w:hAnsi="Calibri"/>
                <w:b/>
                <w:color w:val="FFFFFF"/>
                <w:sz w:val="20"/>
              </w:rPr>
              <w:t>Jurisdiction</w:t>
            </w:r>
          </w:p>
        </w:tc>
        <w:tc>
          <w:tcPr>
            <w:tcW w:type="dxa" w:w="7488"/>
          </w:tcPr>
          <w:p>
            <w:r/>
            <w:r>
              <w:rPr>
                <w:rFonts w:ascii="Calibri" w:hAnsi="Calibri"/>
                <w:b w:val="0"/>
                <w:color w:val="2F4E65"/>
                <w:sz w:val="20"/>
              </w:rPr>
              <w:t>SOUTH CAROLINA communities only (Florida set: SOP 801-806; Georgia set: SOP 811-814)</w:t>
            </w:r>
          </w:p>
        </w:tc>
      </w:tr>
      <w:tr>
        <w:tc>
          <w:tcPr>
            <w:tcW w:type="dxa" w:w="2448"/>
            <w:shd w:val="clear" w:fill="2F4E65"/>
          </w:tcPr>
          <w:p>
            <w:r/>
            <w:r>
              <w:rPr>
                <w:rFonts w:ascii="Calibri" w:hAnsi="Calibri"/>
                <w:b/>
                <w:color w:val="FFFFFF"/>
                <w:sz w:val="20"/>
              </w:rPr>
              <w:t>Legal Basis</w:t>
            </w:r>
          </w:p>
        </w:tc>
        <w:tc>
          <w:tcPr>
            <w:tcW w:type="dxa" w:w="7488"/>
          </w:tcPr>
          <w:p>
            <w:r/>
            <w:r>
              <w:rPr>
                <w:rFonts w:ascii="Calibri" w:hAnsi="Calibri"/>
                <w:b w:val="0"/>
                <w:color w:val="2F4E65"/>
                <w:sz w:val="20"/>
              </w:rPr>
              <w:t>SC Code 27-47-420 (30-day rate notice), 27-47-310 (rental agreement contents), 27-47-510; 27-40-770 (POH periodic tenancies)</w:t>
            </w:r>
          </w:p>
        </w:tc>
      </w:tr>
      <w:tr>
        <w:tc>
          <w:tcPr>
            <w:tcW w:type="dxa" w:w="2448"/>
            <w:shd w:val="clear" w:fill="2F4E65"/>
          </w:tcPr>
          <w:p>
            <w:r/>
            <w:r>
              <w:rPr>
                <w:rFonts w:ascii="Calibri" w:hAnsi="Calibri"/>
                <w:b/>
                <w:color w:val="FFFFFF"/>
                <w:sz w:val="20"/>
              </w:rPr>
              <w:t>Primary System</w:t>
            </w:r>
          </w:p>
        </w:tc>
        <w:tc>
          <w:tcPr>
            <w:tcW w:type="dxa" w:w="7488"/>
          </w:tcPr>
          <w:p>
            <w:r/>
            <w:r>
              <w:rPr>
                <w:rFonts w:ascii="Calibri" w:hAnsi="Calibri"/>
                <w:b w:val="0"/>
                <w:color w:val="2F4E65"/>
                <w:sz w:val="20"/>
              </w:rPr>
              <w:t>Rent Manager</w:t>
            </w:r>
          </w:p>
        </w:tc>
      </w:tr>
      <w:tr>
        <w:tc>
          <w:tcPr>
            <w:tcW w:type="dxa" w:w="2448"/>
            <w:shd w:val="clear" w:fill="2F4E65"/>
          </w:tcPr>
          <w:p>
            <w:r/>
            <w:r>
              <w:rPr>
                <w:rFonts w:ascii="Calibri" w:hAnsi="Calibri"/>
                <w:b/>
                <w:color w:val="FFFFFF"/>
                <w:sz w:val="20"/>
              </w:rPr>
              <w:t>Status</w:t>
            </w:r>
          </w:p>
        </w:tc>
        <w:tc>
          <w:tcPr>
            <w:tcW w:type="dxa" w:w="7488"/>
          </w:tcPr>
          <w:p>
            <w:r/>
            <w:r>
              <w:rPr>
                <w:rFonts w:ascii="Calibri" w:hAnsi="Calibri"/>
                <w:b w:val="0"/>
                <w:color w:val="2F4E65"/>
                <w:sz w:val="20"/>
              </w:rPr>
              <w:t>DRAFT V1 — Pending Review</w:t>
            </w:r>
          </w:p>
        </w:tc>
      </w:tr>
      <w:tr>
        <w:tc>
          <w:tcPr>
            <w:tcW w:type="dxa" w:w="2448"/>
            <w:shd w:val="clear" w:fill="2F4E65"/>
          </w:tcPr>
          <w:p>
            <w:r/>
            <w:r>
              <w:rPr>
                <w:rFonts w:ascii="Calibri" w:hAnsi="Calibri"/>
                <w:b/>
                <w:color w:val="FFFFFF"/>
                <w:sz w:val="20"/>
              </w:rPr>
              <w:t>Effective Date</w:t>
            </w:r>
          </w:p>
        </w:tc>
        <w:tc>
          <w:tcPr>
            <w:tcW w:type="dxa" w:w="7488"/>
          </w:tcPr>
          <w:p>
            <w:r/>
            <w:r>
              <w:rPr>
                <w:rFonts w:ascii="Calibri" w:hAnsi="Calibri"/>
                <w:b w:val="0"/>
                <w:color w:val="2F4E65"/>
                <w:sz w:val="20"/>
              </w:rPr>
              <w:t>_________________ (upon approval)</w:t>
            </w:r>
          </w:p>
        </w:tc>
      </w:tr>
      <w:tr>
        <w:tc>
          <w:tcPr>
            <w:tcW w:type="dxa" w:w="2448"/>
            <w:shd w:val="clear" w:fill="2F4E65"/>
          </w:tcPr>
          <w:p>
            <w:r/>
            <w:r>
              <w:rPr>
                <w:rFonts w:ascii="Calibri" w:hAnsi="Calibri"/>
                <w:b/>
                <w:color w:val="FFFFFF"/>
                <w:sz w:val="20"/>
              </w:rPr>
              <w:t>Last Revised</w:t>
            </w:r>
          </w:p>
        </w:tc>
        <w:tc>
          <w:tcPr>
            <w:tcW w:type="dxa" w:w="7488"/>
          </w:tcPr>
          <w:p>
            <w:r/>
            <w:r>
              <w:rPr>
                <w:rFonts w:ascii="Calibri" w:hAnsi="Calibri"/>
                <w:b w:val="0"/>
                <w:color w:val="2F4E65"/>
                <w:sz w:val="20"/>
              </w:rPr>
              <w:t>August 6, 2026 — drafted from the current SC Code Title 27, Chapters 47 and 40</w:t>
            </w:r>
          </w:p>
        </w:tc>
      </w:tr>
    </w:tbl>
    <w:p/>
    <w:p>
      <w:r>
        <w:rPr>
          <w:rFonts w:ascii="Calibri" w:hAnsi="Calibri"/>
          <w:b/>
          <w:color w:val="F16262"/>
          <w:sz w:val="18"/>
        </w:rPr>
        <w:t>LEGAL REVIEW REQUIRED: This SOP restates timelines from the SC Manufactured Home Park Tenancy Act (Title 27, Ch. 47) and the SC Residential Landlord and Tenant Act (Title 27, Ch. 40). South Carolina counsel must review and approve before rollout. Where a rental agreement is more specific than statute, the agreement controls.</w:t>
      </w:r>
    </w:p>
    <w:p>
      <w:pPr>
        <w:pStyle w:val="Heading1"/>
      </w:pPr>
      <w:r>
        <w:rPr>
          <w:rFonts w:ascii="Calibri" w:hAnsi="Calibri"/>
          <w:color w:val="2F4E65"/>
          <w:sz w:val="30"/>
        </w:rPr>
        <w:t>PURPOSE</w:t>
      </w:r>
    </w:p>
    <w:p>
      <w:r>
        <w:rPr>
          <w:rFonts w:ascii="Calibri" w:hAnsi="Calibri"/>
          <w:b w:val="0"/>
          <w:color w:val="2F4E65"/>
          <w:sz w:val="22"/>
        </w:rPr>
        <w:t>To raise rents at South Carolina communities in compliance with the Manufactured Home Park Tenancy Act. South Carolina is lighter than Florida — 30 days notice, no prospectus, no mediation apparatus — but the rental agreement content rules and the user-fee restriction are traps if the lease forms are sloppy.</w:t>
      </w:r>
    </w:p>
    <w:p>
      <w:r>
        <w:rPr>
          <w:rFonts w:ascii="Calibri" w:hAnsi="Calibri"/>
          <w:b/>
          <w:color w:val="2F4E65"/>
          <w:sz w:val="20"/>
        </w:rPr>
        <w:t>SOUTH CAROLINA HAS TWO TRACKS, LIKE FLORIDA: lot tenancies (resident-owned home on a rented lot) run under the Manufactured Home Park Tenancy Act, SC Code Title 27, Chapter 47. Park-owned home rentals run under the Residential Landlord and Tenant Act, Chapter 40. Every notice starts with the classification question.</w:t>
      </w:r>
    </w:p>
    <w:p>
      <w:pPr>
        <w:pStyle w:val="Heading1"/>
      </w:pPr>
      <w:r>
        <w:rPr>
          <w:rFonts w:ascii="Calibri" w:hAnsi="Calibri"/>
          <w:color w:val="2F4E65"/>
          <w:sz w:val="30"/>
        </w:rPr>
        <w:t>SCOPE</w:t>
      </w:r>
    </w:p>
    <w:p>
      <w:pPr>
        <w:pStyle w:val="Heading2"/>
      </w:pPr>
      <w:r>
        <w:rPr>
          <w:rFonts w:ascii="Calibri" w:hAnsi="Calibri"/>
          <w:color w:val="2F4E65"/>
          <w:sz w:val="24"/>
        </w:rPr>
        <w:t>Applies To</w:t>
      </w:r>
    </w:p>
    <w:p>
      <w:pPr>
        <w:pStyle w:val="ListBullet"/>
      </w:pPr>
      <w:r>
        <w:rPr>
          <w:rFonts w:ascii="Calibri" w:hAnsi="Calibri"/>
          <w:color w:val="2F4E65"/>
          <w:sz w:val="22"/>
        </w:rPr>
        <w:t>All South Carolina communities</w:t>
      </w:r>
    </w:p>
    <w:p>
      <w:pPr>
        <w:pStyle w:val="ListBullet"/>
      </w:pPr>
      <w:r>
        <w:rPr>
          <w:rFonts w:ascii="Calibri" w:hAnsi="Calibri"/>
          <w:color w:val="2F4E65"/>
          <w:sz w:val="22"/>
        </w:rPr>
        <w:t>Track A — lot tenancies under Ch. 27-47; Track B — park-owned home rentals under Ch. 27-40</w:t>
      </w:r>
    </w:p>
    <w:p>
      <w:pPr>
        <w:pStyle w:val="Heading2"/>
      </w:pPr>
      <w:r>
        <w:rPr>
          <w:rFonts w:ascii="Calibri" w:hAnsi="Calibri"/>
          <w:color w:val="2F4E65"/>
          <w:sz w:val="24"/>
        </w:rPr>
        <w:t>Trigger</w:t>
      </w:r>
    </w:p>
    <w:p>
      <w:r>
        <w:rPr>
          <w:rFonts w:ascii="Calibri" w:hAnsi="Calibri"/>
          <w:b w:val="0"/>
          <w:color w:val="2F4E65"/>
          <w:sz w:val="22"/>
        </w:rPr>
        <w:t>Annual budget approval sets the increase schedule; or a renewal window opens.</w:t>
      </w:r>
    </w:p>
    <w:p>
      <w:pPr>
        <w:pStyle w:val="Heading2"/>
      </w:pPr>
      <w:r>
        <w:rPr>
          <w:rFonts w:ascii="Calibri" w:hAnsi="Calibri"/>
          <w:color w:val="2F4E65"/>
          <w:sz w:val="24"/>
        </w:rPr>
        <w:t>Finish Line</w:t>
      </w:r>
    </w:p>
    <w:p>
      <w:r>
        <w:rPr>
          <w:rFonts w:ascii="Calibri" w:hAnsi="Calibri"/>
          <w:b w:val="0"/>
          <w:color w:val="2F4E65"/>
          <w:sz w:val="22"/>
        </w:rPr>
        <w:t>Increase effective in Rent Manager with compliant notice trail; resident continuation elections documented.</w:t>
      </w:r>
    </w:p>
    <w:p>
      <w:pPr>
        <w:pStyle w:val="Heading1"/>
      </w:pPr>
      <w:r>
        <w:rPr>
          <w:rFonts w:ascii="Calibri" w:hAnsi="Calibri"/>
          <w:color w:val="2F4E65"/>
          <w:sz w:val="30"/>
        </w:rPr>
        <w:t>ROLES &amp; RESPONSIBILITIES</w:t>
      </w:r>
    </w:p>
    <w:tbl>
      <w:tblPr>
        <w:tblStyle w:val="TableGrid"/>
        <w:tblW w:type="auto" w:w="0"/>
        <w:tblLook w:firstColumn="1" w:firstRow="1" w:lastColumn="0" w:lastRow="0" w:noHBand="0" w:noVBand="1" w:val="04A0"/>
      </w:tblPr>
      <w:tblGrid>
        <w:gridCol w:w="4968"/>
        <w:gridCol w:w="4968"/>
      </w:tblGrid>
      <w:tr>
        <w:tc>
          <w:tcPr>
            <w:tcW w:type="dxa" w:w="3168"/>
            <w:shd w:val="clear" w:fill="2F4E65"/>
          </w:tcPr>
          <w:p>
            <w:r/>
            <w:r>
              <w:rPr>
                <w:rFonts w:ascii="Calibri" w:hAnsi="Calibri"/>
                <w:b/>
                <w:color w:val="FFFFFF"/>
                <w:sz w:val="20"/>
              </w:rPr>
              <w:t>Role</w:t>
            </w:r>
          </w:p>
        </w:tc>
        <w:tc>
          <w:tcPr>
            <w:tcW w:type="dxa" w:w="6768"/>
            <w:shd w:val="clear" w:fill="2F4E65"/>
          </w:tcPr>
          <w:p>
            <w:r/>
            <w:r>
              <w:rPr>
                <w:rFonts w:ascii="Calibri" w:hAnsi="Calibri"/>
                <w:b/>
                <w:color w:val="FFFFFF"/>
                <w:sz w:val="20"/>
              </w:rPr>
              <w:t>Responsibility</w:t>
            </w:r>
          </w:p>
        </w:tc>
      </w:tr>
      <w:tr>
        <w:tc>
          <w:tcPr>
            <w:tcW w:type="dxa" w:w="3168"/>
          </w:tcPr>
          <w:p>
            <w:r/>
            <w:r>
              <w:rPr>
                <w:rFonts w:ascii="Calibri" w:hAnsi="Calibri"/>
                <w:b w:val="0"/>
                <w:color w:val="2F4E65"/>
                <w:sz w:val="20"/>
              </w:rPr>
              <w:t>Asset Management / Finance</w:t>
            </w:r>
          </w:p>
        </w:tc>
        <w:tc>
          <w:tcPr>
            <w:tcW w:type="dxa" w:w="6768"/>
          </w:tcPr>
          <w:p>
            <w:r/>
            <w:r>
              <w:rPr>
                <w:rFonts w:ascii="Calibri" w:hAnsi="Calibri"/>
                <w:b w:val="0"/>
                <w:color w:val="2F4E65"/>
                <w:sz w:val="20"/>
              </w:rPr>
              <w:t>Increase schedule from budget by community and anniversary</w:t>
            </w:r>
          </w:p>
        </w:tc>
      </w:tr>
      <w:tr>
        <w:tc>
          <w:tcPr>
            <w:tcW w:type="dxa" w:w="3168"/>
            <w:shd w:val="clear" w:fill="F5F7F8"/>
          </w:tcPr>
          <w:p>
            <w:r/>
            <w:r>
              <w:rPr>
                <w:rFonts w:ascii="Calibri" w:hAnsi="Calibri"/>
                <w:b w:val="0"/>
                <w:color w:val="2F4E65"/>
                <w:sz w:val="20"/>
              </w:rPr>
              <w:t>Legal / Compliance</w:t>
            </w:r>
          </w:p>
        </w:tc>
        <w:tc>
          <w:tcPr>
            <w:tcW w:type="dxa" w:w="6768"/>
            <w:shd w:val="clear" w:fill="F5F7F8"/>
          </w:tcPr>
          <w:p>
            <w:r/>
            <w:r>
              <w:rPr>
                <w:rFonts w:ascii="Calibri" w:hAnsi="Calibri"/>
                <w:b w:val="0"/>
                <w:color w:val="2F4E65"/>
                <w:sz w:val="20"/>
              </w:rPr>
              <w:t>Rental agreement form audit vs 27-47-310 content requirements; notice approval</w:t>
            </w:r>
          </w:p>
        </w:tc>
      </w:tr>
      <w:tr>
        <w:tc>
          <w:tcPr>
            <w:tcW w:type="dxa" w:w="3168"/>
          </w:tcPr>
          <w:p>
            <w:r/>
            <w:r>
              <w:rPr>
                <w:rFonts w:ascii="Calibri" w:hAnsi="Calibri"/>
                <w:b w:val="0"/>
                <w:color w:val="2F4E65"/>
                <w:sz w:val="20"/>
              </w:rPr>
              <w:t>Operations Coordinator</w:t>
            </w:r>
          </w:p>
        </w:tc>
        <w:tc>
          <w:tcPr>
            <w:tcW w:type="dxa" w:w="6768"/>
          </w:tcPr>
          <w:p>
            <w:r/>
            <w:r>
              <w:rPr>
                <w:rFonts w:ascii="Calibri" w:hAnsi="Calibri"/>
                <w:b w:val="0"/>
                <w:color w:val="2F4E65"/>
                <w:sz w:val="20"/>
              </w:rPr>
              <w:t>Generates SC notice packages in Rent Manager</w:t>
            </w:r>
          </w:p>
        </w:tc>
      </w:tr>
      <w:tr>
        <w:tc>
          <w:tcPr>
            <w:tcW w:type="dxa" w:w="3168"/>
            <w:shd w:val="clear" w:fill="F5F7F8"/>
          </w:tcPr>
          <w:p>
            <w:r/>
            <w:r>
              <w:rPr>
                <w:rFonts w:ascii="Calibri" w:hAnsi="Calibri"/>
                <w:b w:val="0"/>
                <w:color w:val="2F4E65"/>
                <w:sz w:val="20"/>
              </w:rPr>
              <w:t>Regional Manager</w:t>
            </w:r>
          </w:p>
        </w:tc>
        <w:tc>
          <w:tcPr>
            <w:tcW w:type="dxa" w:w="6768"/>
            <w:shd w:val="clear" w:fill="F5F7F8"/>
          </w:tcPr>
          <w:p>
            <w:r/>
            <w:r>
              <w:rPr>
                <w:rFonts w:ascii="Calibri" w:hAnsi="Calibri"/>
                <w:b w:val="0"/>
                <w:color w:val="2F4E65"/>
                <w:sz w:val="20"/>
              </w:rPr>
              <w:t>Accuracy review; tracks resident continuation responses</w:t>
            </w:r>
          </w:p>
        </w:tc>
      </w:tr>
      <w:tr>
        <w:tc>
          <w:tcPr>
            <w:tcW w:type="dxa" w:w="3168"/>
          </w:tcPr>
          <w:p>
            <w:r/>
            <w:r>
              <w:rPr>
                <w:rFonts w:ascii="Calibri" w:hAnsi="Calibri"/>
                <w:b w:val="0"/>
                <w:color w:val="2F4E65"/>
                <w:sz w:val="20"/>
              </w:rPr>
              <w:t>Community Manager</w:t>
            </w:r>
          </w:p>
        </w:tc>
        <w:tc>
          <w:tcPr>
            <w:tcW w:type="dxa" w:w="6768"/>
          </w:tcPr>
          <w:p>
            <w:r/>
            <w:r>
              <w:rPr>
                <w:rFonts w:ascii="Calibri" w:hAnsi="Calibri"/>
                <w:b w:val="0"/>
                <w:color w:val="2F4E65"/>
                <w:sz w:val="20"/>
              </w:rPr>
              <w:t>Service, proof, resident communication</w:t>
            </w:r>
          </w:p>
        </w:tc>
      </w:tr>
    </w:tbl>
    <w:p>
      <w:pPr>
        <w:pStyle w:val="Heading1"/>
      </w:pPr>
      <w:r>
        <w:rPr>
          <w:rFonts w:ascii="Calibri" w:hAnsi="Calibri"/>
          <w:color w:val="2F4E65"/>
          <w:sz w:val="30"/>
        </w:rPr>
        <w:t>SOUTH CAROLINA COMPLIANCE REQUIREMENTS — HARD DEADLINES</w:t>
      </w:r>
    </w:p>
    <w:p>
      <w:r>
        <w:rPr>
          <w:rFonts w:ascii="Calibri" w:hAnsi="Calibri"/>
          <w:b w:val="0"/>
          <w:color w:val="2F4E65"/>
          <w:sz w:val="20"/>
        </w:rPr>
        <w:t>These timelines are statutory. Missing one voids the action or exposes the company to penalties and fee awards. When counting days, follow the statute exactly; when in doubt, add days, never subtract.</w:t>
      </w:r>
    </w:p>
    <w:tbl>
      <w:tblPr>
        <w:tblStyle w:val="TableGrid"/>
        <w:tblW w:type="auto" w:w="0"/>
        <w:tblLook w:firstColumn="1" w:firstRow="1" w:lastColumn="0" w:lastRow="0" w:noHBand="0" w:noVBand="1" w:val="04A0"/>
      </w:tblPr>
      <w:tblGrid>
        <w:gridCol w:w="3312"/>
        <w:gridCol w:w="3312"/>
        <w:gridCol w:w="3312"/>
      </w:tblGrid>
      <w:tr>
        <w:tc>
          <w:tcPr>
            <w:tcW w:type="dxa" w:w="3888"/>
            <w:shd w:val="clear" w:fill="2F4E65"/>
          </w:tcPr>
          <w:p>
            <w:r/>
            <w:r>
              <w:rPr>
                <w:rFonts w:ascii="Calibri" w:hAnsi="Calibri"/>
                <w:b/>
                <w:color w:val="FFFFFF"/>
                <w:sz w:val="20"/>
              </w:rPr>
              <w:t>Requirement</w:t>
            </w:r>
          </w:p>
        </w:tc>
        <w:tc>
          <w:tcPr>
            <w:tcW w:type="dxa" w:w="3888"/>
            <w:shd w:val="clear" w:fill="2F4E65"/>
          </w:tcPr>
          <w:p>
            <w:r/>
            <w:r>
              <w:rPr>
                <w:rFonts w:ascii="Calibri" w:hAnsi="Calibri"/>
                <w:b/>
                <w:color w:val="FFFFFF"/>
                <w:sz w:val="20"/>
              </w:rPr>
              <w:t>Deadline / Standard</w:t>
            </w:r>
          </w:p>
        </w:tc>
        <w:tc>
          <w:tcPr>
            <w:tcW w:type="dxa" w:w="2160"/>
            <w:shd w:val="clear" w:fill="2F4E65"/>
          </w:tcPr>
          <w:p>
            <w:r/>
            <w:r>
              <w:rPr>
                <w:rFonts w:ascii="Calibri" w:hAnsi="Calibri"/>
                <w:b/>
                <w:color w:val="FFFFFF"/>
                <w:sz w:val="20"/>
              </w:rPr>
              <w:t>Citation</w:t>
            </w:r>
          </w:p>
        </w:tc>
      </w:tr>
      <w:tr>
        <w:tc>
          <w:tcPr>
            <w:tcW w:type="dxa" w:w="3888"/>
          </w:tcPr>
          <w:p>
            <w:r/>
            <w:r>
              <w:rPr>
                <w:rFonts w:ascii="Calibri" w:hAnsi="Calibri"/>
                <w:b w:val="0"/>
                <w:color w:val="2F4E65"/>
                <w:sz w:val="20"/>
              </w:rPr>
              <w:t>Lot rent increase notice (Track A)</w:t>
            </w:r>
          </w:p>
        </w:tc>
        <w:tc>
          <w:tcPr>
            <w:tcW w:type="dxa" w:w="3888"/>
          </w:tcPr>
          <w:p>
            <w:r/>
            <w:r>
              <w:rPr>
                <w:rFonts w:ascii="Calibri" w:hAnsi="Calibri"/>
                <w:b w:val="0"/>
                <w:color w:val="2F4E65"/>
                <w:sz w:val="20"/>
              </w:rPr>
              <w:t>Written notice at least 30 DAYS in advance of the effective date of the new rental rate. Parakeet standard: serve at 60 days to leave margin</w:t>
            </w:r>
          </w:p>
        </w:tc>
        <w:tc>
          <w:tcPr>
            <w:tcW w:type="dxa" w:w="2160"/>
          </w:tcPr>
          <w:p>
            <w:r/>
            <w:r>
              <w:rPr>
                <w:rFonts w:ascii="Calibri" w:hAnsi="Calibri"/>
                <w:b w:val="0"/>
                <w:color w:val="2F4E65"/>
                <w:sz w:val="20"/>
              </w:rPr>
              <w:t>SC Code 27-47-420</w:t>
            </w:r>
          </w:p>
        </w:tc>
      </w:tr>
      <w:tr>
        <w:tc>
          <w:tcPr>
            <w:tcW w:type="dxa" w:w="3888"/>
            <w:shd w:val="clear" w:fill="F5F7F8"/>
          </w:tcPr>
          <w:p>
            <w:r/>
            <w:r>
              <w:rPr>
                <w:rFonts w:ascii="Calibri" w:hAnsi="Calibri"/>
                <w:b w:val="0"/>
                <w:color w:val="2F4E65"/>
                <w:sz w:val="20"/>
              </w:rPr>
              <w:t>Resident continuation election</w:t>
            </w:r>
          </w:p>
        </w:tc>
        <w:tc>
          <w:tcPr>
            <w:tcW w:type="dxa" w:w="3888"/>
            <w:shd w:val="clear" w:fill="F5F7F8"/>
          </w:tcPr>
          <w:p>
            <w:r/>
            <w:r>
              <w:rPr>
                <w:rFonts w:ascii="Calibri" w:hAnsi="Calibri"/>
                <w:b w:val="0"/>
                <w:color w:val="2F4E65"/>
                <w:sz w:val="20"/>
              </w:rPr>
              <w:t>Resident must give written notice within 30 days of receiving the new-rate notice stating whether the tenancy continues — track responses; silence is a flag for follow-up, not an eviction event by itself</w:t>
            </w:r>
          </w:p>
        </w:tc>
        <w:tc>
          <w:tcPr>
            <w:tcW w:type="dxa" w:w="2160"/>
            <w:shd w:val="clear" w:fill="F5F7F8"/>
          </w:tcPr>
          <w:p>
            <w:r/>
            <w:r>
              <w:rPr>
                <w:rFonts w:ascii="Calibri" w:hAnsi="Calibri"/>
                <w:b w:val="0"/>
                <w:color w:val="2F4E65"/>
                <w:sz w:val="20"/>
              </w:rPr>
              <w:t>SC Code 27-47-510</w:t>
            </w:r>
          </w:p>
        </w:tc>
      </w:tr>
      <w:tr>
        <w:tc>
          <w:tcPr>
            <w:tcW w:type="dxa" w:w="3888"/>
          </w:tcPr>
          <w:p>
            <w:r/>
            <w:r>
              <w:rPr>
                <w:rFonts w:ascii="Calibri" w:hAnsi="Calibri"/>
                <w:b w:val="0"/>
                <w:color w:val="2F4E65"/>
                <w:sz w:val="20"/>
              </w:rPr>
              <w:t>Rental agreement contents (Track A)</w:t>
            </w:r>
          </w:p>
        </w:tc>
        <w:tc>
          <w:tcPr>
            <w:tcW w:type="dxa" w:w="3888"/>
          </w:tcPr>
          <w:p>
            <w:r/>
            <w:r>
              <w:rPr>
                <w:rFonts w:ascii="Calibri" w:hAnsi="Calibri"/>
                <w:b w:val="0"/>
                <w:color w:val="2F4E65"/>
                <w:sz w:val="20"/>
              </w:rPr>
              <w:t>Written agreement must state: lot location/size, monthly rate, due date/place, services provided, park regulations, fees/deposits, permitted improvements, pet/occupancy rules, renewal notice requirements</w:t>
            </w:r>
          </w:p>
        </w:tc>
        <w:tc>
          <w:tcPr>
            <w:tcW w:type="dxa" w:w="2160"/>
          </w:tcPr>
          <w:p>
            <w:r/>
            <w:r>
              <w:rPr>
                <w:rFonts w:ascii="Calibri" w:hAnsi="Calibri"/>
                <w:b w:val="0"/>
                <w:color w:val="2F4E65"/>
                <w:sz w:val="20"/>
              </w:rPr>
              <w:t>SC Code 27-47-310</w:t>
            </w:r>
          </w:p>
        </w:tc>
      </w:tr>
      <w:tr>
        <w:tc>
          <w:tcPr>
            <w:tcW w:type="dxa" w:w="3888"/>
            <w:shd w:val="clear" w:fill="F5F7F8"/>
          </w:tcPr>
          <w:p>
            <w:r/>
            <w:r>
              <w:rPr>
                <w:rFonts w:ascii="Calibri" w:hAnsi="Calibri"/>
                <w:b w:val="0"/>
                <w:color w:val="2F4E65"/>
                <w:sz w:val="20"/>
              </w:rPr>
              <w:t>User fees</w:t>
            </w:r>
          </w:p>
        </w:tc>
        <w:tc>
          <w:tcPr>
            <w:tcW w:type="dxa" w:w="3888"/>
            <w:shd w:val="clear" w:fill="F5F7F8"/>
          </w:tcPr>
          <w:p>
            <w:r/>
            <w:r>
              <w:rPr>
                <w:rFonts w:ascii="Calibri" w:hAnsi="Calibri"/>
                <w:b w:val="0"/>
                <w:color w:val="2F4E65"/>
                <w:sz w:val="20"/>
              </w:rPr>
              <w:t>No new user fee for a service previously included in rent unless rent decreases correspondingly</w:t>
            </w:r>
          </w:p>
        </w:tc>
        <w:tc>
          <w:tcPr>
            <w:tcW w:type="dxa" w:w="2160"/>
            <w:shd w:val="clear" w:fill="F5F7F8"/>
          </w:tcPr>
          <w:p>
            <w:r/>
            <w:r>
              <w:rPr>
                <w:rFonts w:ascii="Calibri" w:hAnsi="Calibri"/>
                <w:b w:val="0"/>
                <w:color w:val="2F4E65"/>
                <w:sz w:val="20"/>
              </w:rPr>
              <w:t>SC Code 27-47-310</w:t>
            </w:r>
          </w:p>
        </w:tc>
      </w:tr>
      <w:tr>
        <w:tc>
          <w:tcPr>
            <w:tcW w:type="dxa" w:w="3888"/>
          </w:tcPr>
          <w:p>
            <w:r/>
            <w:r>
              <w:rPr>
                <w:rFonts w:ascii="Calibri" w:hAnsi="Calibri"/>
                <w:b w:val="0"/>
                <w:color w:val="2F4E65"/>
                <w:sz w:val="20"/>
              </w:rPr>
              <w:t>POH rentals (Track B)</w:t>
            </w:r>
          </w:p>
        </w:tc>
        <w:tc>
          <w:tcPr>
            <w:tcW w:type="dxa" w:w="3888"/>
          </w:tcPr>
          <w:p>
            <w:r/>
            <w:r>
              <w:rPr>
                <w:rFonts w:ascii="Calibri" w:hAnsi="Calibri"/>
                <w:b w:val="0"/>
                <w:color w:val="2F4E65"/>
                <w:sz w:val="20"/>
              </w:rPr>
              <w:t>Increases at renewal per lease; month-to-month changes/termination = 30 days written notice (week-to-week = 7 days)</w:t>
            </w:r>
          </w:p>
        </w:tc>
        <w:tc>
          <w:tcPr>
            <w:tcW w:type="dxa" w:w="2160"/>
          </w:tcPr>
          <w:p>
            <w:r/>
            <w:r>
              <w:rPr>
                <w:rFonts w:ascii="Calibri" w:hAnsi="Calibri"/>
                <w:b w:val="0"/>
                <w:color w:val="2F4E65"/>
                <w:sz w:val="20"/>
              </w:rPr>
              <w:t>SC Code 27-40-770</w:t>
            </w:r>
          </w:p>
        </w:tc>
      </w:tr>
    </w:tbl>
    <w:p>
      <w:pPr>
        <w:pStyle w:val="Heading1"/>
      </w:pPr>
      <w:r>
        <w:rPr>
          <w:rFonts w:ascii="Calibri" w:hAnsi="Calibri"/>
          <w:color w:val="2F4E65"/>
          <w:sz w:val="30"/>
        </w:rPr>
        <w:t>PROCEDURE</w:t>
      </w:r>
    </w:p>
    <w:p>
      <w:pPr>
        <w:pStyle w:val="Heading2"/>
      </w:pPr>
      <w:r>
        <w:rPr>
          <w:rFonts w:ascii="Calibri" w:hAnsi="Calibri"/>
          <w:color w:val="2F4E65"/>
          <w:sz w:val="24"/>
        </w:rPr>
        <w:t>Phase 1 — Planning  ·  T-90 to T-70 days</w:t>
      </w:r>
    </w:p>
    <w:p>
      <w:pPr>
        <w:pStyle w:val="ListNumber"/>
      </w:pPr>
      <w:r>
        <w:rPr>
          <w:rFonts w:ascii="Calibri" w:hAnsi="Calibri"/>
          <w:color w:val="2F4E65"/>
          <w:sz w:val="22"/>
        </w:rPr>
        <w:t>Asset Management / Finance — approved increases + anniversaries from Rent Manager.</w:t>
      </w:r>
    </w:p>
    <w:p>
      <w:pPr>
        <w:pStyle w:val="ListNumber"/>
      </w:pPr>
      <w:r>
        <w:rPr>
          <w:rFonts w:ascii="Calibri" w:hAnsi="Calibri"/>
          <w:color w:val="2F4E65"/>
          <w:sz w:val="22"/>
        </w:rPr>
        <w:t>Legal / Compliance — annual audit of SC rental agreement forms against the 27-47-310 content list; any missing element gets fixed at renewal. Confirm no new user fee violates the included-services rule.</w:t>
      </w:r>
    </w:p>
    <w:p>
      <w:pPr>
        <w:pStyle w:val="ListNumber"/>
      </w:pPr>
      <w:r>
        <w:rPr>
          <w:rFonts w:ascii="Calibri" w:hAnsi="Calibri"/>
          <w:color w:val="2F4E65"/>
          <w:sz w:val="22"/>
        </w:rPr>
        <w:t>Director of Operations — approves the schedule.</w:t>
      </w:r>
    </w:p>
    <w:p>
      <w:pPr>
        <w:pStyle w:val="Heading2"/>
      </w:pPr>
      <w:r>
        <w:rPr>
          <w:rFonts w:ascii="Calibri" w:hAnsi="Calibri"/>
          <w:color w:val="2F4E65"/>
          <w:sz w:val="24"/>
        </w:rPr>
        <w:t>Phase 2 — Notice  ·  Parakeet standard T-60, statutory floor T-30</w:t>
      </w:r>
    </w:p>
    <w:p>
      <w:pPr>
        <w:pStyle w:val="ListNumber"/>
      </w:pPr>
      <w:r>
        <w:rPr>
          <w:rFonts w:ascii="Calibri" w:hAnsi="Calibri"/>
          <w:color w:val="2F4E65"/>
          <w:sz w:val="22"/>
        </w:rPr>
        <w:t>Operations Coordinator — generates notices: current rate, new rate, effective date, and the resident's 30-day continuation election language.</w:t>
      </w:r>
    </w:p>
    <w:p>
      <w:pPr>
        <w:pStyle w:val="ListNumber"/>
      </w:pPr>
      <w:r>
        <w:rPr>
          <w:rFonts w:ascii="Calibri" w:hAnsi="Calibri"/>
          <w:color w:val="2F4E65"/>
          <w:sz w:val="22"/>
        </w:rPr>
        <w:t>Regional Manager — accuracy review.</w:t>
      </w:r>
    </w:p>
    <w:p>
      <w:pPr>
        <w:pStyle w:val="ListNumber"/>
      </w:pPr>
      <w:r>
        <w:rPr>
          <w:rFonts w:ascii="Calibri" w:hAnsi="Calibri"/>
          <w:color w:val="2F4E65"/>
          <w:sz w:val="22"/>
        </w:rPr>
        <w:t>Community Manager — serves per SOP 823; proof to Rent Manager same day.</w:t>
      </w:r>
    </w:p>
    <w:p>
      <w:pPr>
        <w:pStyle w:val="Heading2"/>
      </w:pPr>
      <w:r>
        <w:rPr>
          <w:rFonts w:ascii="Calibri" w:hAnsi="Calibri"/>
          <w:color w:val="2F4E65"/>
          <w:sz w:val="24"/>
        </w:rPr>
        <w:t>Phase 3 — Election Tracking &amp; Effective Date</w:t>
      </w:r>
    </w:p>
    <w:p>
      <w:pPr>
        <w:pStyle w:val="ListNumber"/>
      </w:pPr>
      <w:r>
        <w:rPr>
          <w:rFonts w:ascii="Calibri" w:hAnsi="Calibri"/>
          <w:color w:val="2F4E65"/>
          <w:sz w:val="22"/>
        </w:rPr>
        <w:t>Community Manager — logs each resident's written continuation response in Rent Manager; follows up on silence at Day 20.</w:t>
      </w:r>
    </w:p>
    <w:p>
      <w:pPr>
        <w:pStyle w:val="ListNumber"/>
      </w:pPr>
      <w:r>
        <w:rPr>
          <w:rFonts w:ascii="Calibri" w:hAnsi="Calibri"/>
          <w:color w:val="2F4E65"/>
          <w:sz w:val="22"/>
        </w:rPr>
        <w:t>Operations Coordinator — batch-updates Rent Manager on the effective date; Regional Manager reviews the first rent roll for stragglers.</w:t>
      </w:r>
    </w:p>
    <w:p>
      <w:pPr>
        <w:pStyle w:val="Heading1"/>
      </w:pPr>
      <w:r>
        <w:rPr>
          <w:rFonts w:ascii="Calibri" w:hAnsi="Calibri"/>
          <w:color w:val="2F4E65"/>
          <w:sz w:val="30"/>
        </w:rPr>
        <w:t>DOCUMENTATION &amp; RECORDKEEPING</w:t>
      </w:r>
    </w:p>
    <w:p>
      <w:pPr>
        <w:pStyle w:val="ListBullet"/>
      </w:pPr>
      <w:r>
        <w:rPr>
          <w:rFonts w:ascii="Calibri" w:hAnsi="Calibri"/>
          <w:color w:val="2F4E65"/>
          <w:sz w:val="22"/>
        </w:rPr>
        <w:t>Notices, proofs, and election responses per account in Rent Manager + Legal Notices folder. Retention: 7 years.</w:t>
      </w:r>
    </w:p>
    <w:p/>
    <w:p>
      <w:r>
        <w:rPr>
          <w:rFonts w:ascii="Calibri" w:hAnsi="Calibri"/>
          <w:color w:val="8FA3B2"/>
          <w:sz w:val="18"/>
        </w:rPr>
        <w:t>Draft prepared from the current SC Code of Laws: Title 27, Chapter 47 (Manufactured Home Park Tenancy Act) for lot tenancies and Title 27, Chapter 40 (Residential Landlord and Tenant Act) for park-owned home rentals (scstatehouse.gov), plus existing Parakeet SOPs.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F4E6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F4E65"/>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4E6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F4E6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4E6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9F35BB6-C8D8-4E56-AD44-44F5B6E96B70}"/>
</file>

<file path=customXml/itemProps3.xml><?xml version="1.0" encoding="utf-8"?>
<ds:datastoreItem xmlns:ds="http://schemas.openxmlformats.org/officeDocument/2006/customXml" ds:itemID="{B7300F82-8C67-41C1-981F-6D5D4736F259}"/>
</file>

<file path=customXml/itemProps4.xml><?xml version="1.0" encoding="utf-8"?>
<ds:datastoreItem xmlns:ds="http://schemas.openxmlformats.org/officeDocument/2006/customXml" ds:itemID="{0F8A6512-E3C6-4729-8C64-5297EC98082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ies>
</file>