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823: Resident Notice Service &amp; Documentation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27-47-420/-510/-530; 27-40-710/-770; lease delivery clauses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The South Carolina companion to SOP 803/813: right method, right count, proof same day.</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notices at South Carolina communities</w:t>
      </w:r>
    </w:p>
    <w:p>
      <w:pPr>
        <w:pStyle w:val="ListBullet"/>
      </w:pPr>
      <w:r>
        <w:rPr>
          <w:rFonts w:ascii="Calibri" w:hAnsi="Calibri"/>
          <w:color w:val="2F4E65"/>
          <w:sz w:val="22"/>
        </w:rPr>
        <w:t>Referenced by SOP 821, 822, 824</w:t>
      </w:r>
    </w:p>
    <w:p>
      <w:pPr>
        <w:pStyle w:val="Heading2"/>
      </w:pPr>
      <w:r>
        <w:rPr>
          <w:rFonts w:ascii="Calibri" w:hAnsi="Calibri"/>
          <w:color w:val="2F4E65"/>
          <w:sz w:val="24"/>
        </w:rPr>
        <w:t>Trigger</w:t>
      </w:r>
    </w:p>
    <w:p>
      <w:r>
        <w:rPr>
          <w:rFonts w:ascii="Calibri" w:hAnsi="Calibri"/>
          <w:b w:val="0"/>
          <w:color w:val="2F4E65"/>
          <w:sz w:val="22"/>
        </w:rPr>
        <w:t>Any SC SOP requires a resident notice.</w:t>
      </w:r>
    </w:p>
    <w:p>
      <w:pPr>
        <w:pStyle w:val="Heading2"/>
      </w:pPr>
      <w:r>
        <w:rPr>
          <w:rFonts w:ascii="Calibri" w:hAnsi="Calibri"/>
          <w:color w:val="2F4E65"/>
          <w:sz w:val="24"/>
        </w:rPr>
        <w:t>Finish Line</w:t>
      </w:r>
    </w:p>
    <w:p>
      <w:r>
        <w:rPr>
          <w:rFonts w:ascii="Calibri" w:hAnsi="Calibri"/>
          <w:b w:val="0"/>
          <w:color w:val="2F4E65"/>
          <w:sz w:val="22"/>
        </w:rPr>
        <w:t>Notice served with same-day proof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from approved SC templates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Serves, photographs, uploads proof same day</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Weekly proof-of-service audit</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Template owner</w:t>
            </w:r>
          </w:p>
        </w:tc>
      </w:tr>
    </w:tbl>
    <w:p>
      <w:pPr>
        <w:pStyle w:val="Heading1"/>
      </w:pPr>
      <w:r>
        <w:rPr>
          <w:rFonts w:ascii="Calibri" w:hAnsi="Calibri"/>
          <w:color w:val="2F4E65"/>
          <w:sz w:val="30"/>
        </w:rPr>
        <w:t>SERVICE STANDARDS MATRIX</w:t>
      </w:r>
    </w:p>
    <w:tbl>
      <w:tblPr>
        <w:tblStyle w:val="TableGrid"/>
        <w:tblW w:type="auto" w:w="0"/>
        <w:tblLook w:firstColumn="1" w:firstRow="1" w:lastColumn="0" w:lastRow="0" w:noHBand="0" w:noVBand="1" w:val="04A0"/>
      </w:tblPr>
      <w:tblGrid>
        <w:gridCol w:w="3312"/>
        <w:gridCol w:w="3312"/>
        <w:gridCol w:w="3312"/>
      </w:tblGrid>
      <w:tr>
        <w:tc>
          <w:tcPr>
            <w:tcW w:type="dxa" w:w="3456"/>
            <w:shd w:val="clear" w:fill="2F4E65"/>
          </w:tcPr>
          <w:p>
            <w:r/>
            <w:r>
              <w:rPr>
                <w:rFonts w:ascii="Calibri" w:hAnsi="Calibri"/>
                <w:b/>
                <w:color w:val="FFFFFF"/>
                <w:sz w:val="20"/>
              </w:rPr>
              <w:t>Notice Type</w:t>
            </w:r>
          </w:p>
        </w:tc>
        <w:tc>
          <w:tcPr>
            <w:tcW w:type="dxa" w:w="4464"/>
            <w:shd w:val="clear" w:fill="2F4E65"/>
          </w:tcPr>
          <w:p>
            <w:r/>
            <w:r>
              <w:rPr>
                <w:rFonts w:ascii="Calibri" w:hAnsi="Calibri"/>
                <w:b/>
                <w:color w:val="FFFFFF"/>
                <w:sz w:val="20"/>
              </w:rPr>
              <w:t>Required Standard</w:t>
            </w:r>
          </w:p>
        </w:tc>
        <w:tc>
          <w:tcPr>
            <w:tcW w:type="dxa" w:w="2016"/>
            <w:shd w:val="clear" w:fill="2F4E65"/>
          </w:tcPr>
          <w:p>
            <w:r/>
            <w:r>
              <w:rPr>
                <w:rFonts w:ascii="Calibri" w:hAnsi="Calibri"/>
                <w:b/>
                <w:color w:val="FFFFFF"/>
                <w:sz w:val="20"/>
              </w:rPr>
              <w:t>Citation</w:t>
            </w:r>
          </w:p>
        </w:tc>
      </w:tr>
      <w:tr>
        <w:tc>
          <w:tcPr>
            <w:tcW w:type="dxa" w:w="3456"/>
          </w:tcPr>
          <w:p>
            <w:r/>
            <w:r>
              <w:rPr>
                <w:rFonts w:ascii="Calibri" w:hAnsi="Calibri"/>
                <w:b w:val="0"/>
                <w:color w:val="2F4E65"/>
                <w:sz w:val="20"/>
              </w:rPr>
              <w:t>Lot rent increase (Track A)</w:t>
            </w:r>
          </w:p>
        </w:tc>
        <w:tc>
          <w:tcPr>
            <w:tcW w:type="dxa" w:w="4464"/>
          </w:tcPr>
          <w:p>
            <w:r/>
            <w:r>
              <w:rPr>
                <w:rFonts w:ascii="Calibri" w:hAnsi="Calibri"/>
                <w:b w:val="0"/>
                <w:color w:val="2F4E65"/>
                <w:sz w:val="20"/>
              </w:rPr>
              <w:t>Written notice &gt;= 30 days before effective date (Parakeet standard: 60); includes resident 30-day continuation election</w:t>
            </w:r>
          </w:p>
        </w:tc>
        <w:tc>
          <w:tcPr>
            <w:tcW w:type="dxa" w:w="2016"/>
          </w:tcPr>
          <w:p>
            <w:r/>
            <w:r>
              <w:rPr>
                <w:rFonts w:ascii="Calibri" w:hAnsi="Calibri"/>
                <w:b w:val="0"/>
                <w:color w:val="2F4E65"/>
                <w:sz w:val="20"/>
              </w:rPr>
              <w:t>SC 27-47-420, 27-47-510</w:t>
            </w:r>
          </w:p>
        </w:tc>
      </w:tr>
      <w:tr>
        <w:tc>
          <w:tcPr>
            <w:tcW w:type="dxa" w:w="3456"/>
            <w:shd w:val="clear" w:fill="F5F7F8"/>
          </w:tcPr>
          <w:p>
            <w:r/>
            <w:r>
              <w:rPr>
                <w:rFonts w:ascii="Calibri" w:hAnsi="Calibri"/>
                <w:b w:val="0"/>
                <w:color w:val="2F4E65"/>
                <w:sz w:val="20"/>
              </w:rPr>
              <w:t>Track A breach / nonpayment / eviction notices</w:t>
            </w:r>
          </w:p>
        </w:tc>
        <w:tc>
          <w:tcPr>
            <w:tcW w:type="dxa" w:w="4464"/>
            <w:shd w:val="clear" w:fill="F5F7F8"/>
          </w:tcPr>
          <w:p>
            <w:r/>
            <w:r>
              <w:rPr>
                <w:rFonts w:ascii="Calibri" w:hAnsi="Calibri"/>
                <w:b w:val="0"/>
                <w:color w:val="2F4E65"/>
                <w:sz w:val="20"/>
              </w:rPr>
              <w:t>Written notice specifying the ground; 14-day cure for agreement breaches; keep delivery proof for the magistrate</w:t>
            </w:r>
          </w:p>
        </w:tc>
        <w:tc>
          <w:tcPr>
            <w:tcW w:type="dxa" w:w="2016"/>
            <w:shd w:val="clear" w:fill="F5F7F8"/>
          </w:tcPr>
          <w:p>
            <w:r/>
            <w:r>
              <w:rPr>
                <w:rFonts w:ascii="Calibri" w:hAnsi="Calibri"/>
                <w:b w:val="0"/>
                <w:color w:val="2F4E65"/>
                <w:sz w:val="20"/>
              </w:rPr>
              <w:t>SC 27-47-530</w:t>
            </w:r>
          </w:p>
        </w:tc>
      </w:tr>
      <w:tr>
        <w:tc>
          <w:tcPr>
            <w:tcW w:type="dxa" w:w="3456"/>
          </w:tcPr>
          <w:p>
            <w:r/>
            <w:r>
              <w:rPr>
                <w:rFonts w:ascii="Calibri" w:hAnsi="Calibri"/>
                <w:b w:val="0"/>
                <w:color w:val="2F4E65"/>
                <w:sz w:val="20"/>
              </w:rPr>
              <w:t>Track B (POH) 14-day cure / 5-day rent</w:t>
            </w:r>
          </w:p>
        </w:tc>
        <w:tc>
          <w:tcPr>
            <w:tcW w:type="dxa" w:w="4464"/>
          </w:tcPr>
          <w:p>
            <w:r/>
            <w:r>
              <w:rPr>
                <w:rFonts w:ascii="Calibri" w:hAnsi="Calibri"/>
                <w:b w:val="0"/>
                <w:color w:val="2F4E65"/>
                <w:sz w:val="20"/>
              </w:rPr>
              <w:t>Written notice; conspicuous lease clause substitutes for the 5-day rent notice if present</w:t>
            </w:r>
          </w:p>
        </w:tc>
        <w:tc>
          <w:tcPr>
            <w:tcW w:type="dxa" w:w="2016"/>
          </w:tcPr>
          <w:p>
            <w:r/>
            <w:r>
              <w:rPr>
                <w:rFonts w:ascii="Calibri" w:hAnsi="Calibri"/>
                <w:b w:val="0"/>
                <w:color w:val="2F4E65"/>
                <w:sz w:val="20"/>
              </w:rPr>
              <w:t>SC 27-40-710</w:t>
            </w:r>
          </w:p>
        </w:tc>
      </w:tr>
      <w:tr>
        <w:tc>
          <w:tcPr>
            <w:tcW w:type="dxa" w:w="3456"/>
            <w:shd w:val="clear" w:fill="F5F7F8"/>
          </w:tcPr>
          <w:p>
            <w:r/>
            <w:r>
              <w:rPr>
                <w:rFonts w:ascii="Calibri" w:hAnsi="Calibri"/>
                <w:b w:val="0"/>
                <w:color w:val="2F4E65"/>
                <w:sz w:val="20"/>
              </w:rPr>
              <w:t>Periodic tenancy termination (POH)</w:t>
            </w:r>
          </w:p>
        </w:tc>
        <w:tc>
          <w:tcPr>
            <w:tcW w:type="dxa" w:w="4464"/>
            <w:shd w:val="clear" w:fill="F5F7F8"/>
          </w:tcPr>
          <w:p>
            <w:r/>
            <w:r>
              <w:rPr>
                <w:rFonts w:ascii="Calibri" w:hAnsi="Calibri"/>
                <w:b w:val="0"/>
                <w:color w:val="2F4E65"/>
                <w:sz w:val="20"/>
              </w:rPr>
              <w:t>30 days month-to-month, 7 days week-to-week, written</w:t>
            </w:r>
          </w:p>
        </w:tc>
        <w:tc>
          <w:tcPr>
            <w:tcW w:type="dxa" w:w="2016"/>
            <w:shd w:val="clear" w:fill="F5F7F8"/>
          </w:tcPr>
          <w:p>
            <w:r/>
            <w:r>
              <w:rPr>
                <w:rFonts w:ascii="Calibri" w:hAnsi="Calibri"/>
                <w:b w:val="0"/>
                <w:color w:val="2F4E65"/>
                <w:sz w:val="20"/>
              </w:rPr>
              <w:t>SC 27-40-770</w:t>
            </w:r>
          </w:p>
        </w:tc>
      </w:tr>
      <w:tr>
        <w:tc>
          <w:tcPr>
            <w:tcW w:type="dxa" w:w="3456"/>
          </w:tcPr>
          <w:p>
            <w:r/>
            <w:r>
              <w:rPr>
                <w:rFonts w:ascii="Calibri" w:hAnsi="Calibri"/>
                <w:b w:val="0"/>
                <w:color w:val="2F4E65"/>
                <w:sz w:val="20"/>
              </w:rPr>
              <w:t>Deposit itemization</w:t>
            </w:r>
          </w:p>
        </w:tc>
        <w:tc>
          <w:tcPr>
            <w:tcW w:type="dxa" w:w="4464"/>
          </w:tcPr>
          <w:p>
            <w:r/>
            <w:r>
              <w:rPr>
                <w:rFonts w:ascii="Calibri" w:hAnsi="Calibri"/>
                <w:b w:val="0"/>
                <w:color w:val="2F4E65"/>
                <w:sz w:val="20"/>
              </w:rPr>
              <w:t>Written itemized notice within 30 days (see SOP 824)</w:t>
            </w:r>
          </w:p>
        </w:tc>
        <w:tc>
          <w:tcPr>
            <w:tcW w:type="dxa" w:w="2016"/>
          </w:tcPr>
          <w:p>
            <w:r/>
            <w:r>
              <w:rPr>
                <w:rFonts w:ascii="Calibri" w:hAnsi="Calibri"/>
                <w:b w:val="0"/>
                <w:color w:val="2F4E65"/>
                <w:sz w:val="20"/>
              </w:rPr>
              <w:t>SC 27-40-410, 27-47-520</w:t>
            </w:r>
          </w:p>
        </w:tc>
      </w:tr>
    </w:tbl>
    <w:p>
      <w:pPr>
        <w:pStyle w:val="Heading1"/>
      </w:pPr>
      <w:r>
        <w:rPr>
          <w:rFonts w:ascii="Calibri" w:hAnsi="Calibri"/>
          <w:color w:val="2F4E65"/>
          <w:sz w:val="30"/>
        </w:rPr>
        <w:t>PROCEDURE</w:t>
      </w:r>
    </w:p>
    <w:p>
      <w:pPr>
        <w:pStyle w:val="ListNumber"/>
      </w:pPr>
      <w:r>
        <w:rPr>
          <w:rFonts w:ascii="Calibri" w:hAnsi="Calibri"/>
          <w:color w:val="2F4E65"/>
          <w:sz w:val="22"/>
        </w:rPr>
        <w:t>Generate from the approved SC template; verify legal name, lot, amounts, dates, track.</w:t>
      </w:r>
    </w:p>
    <w:p>
      <w:pPr>
        <w:pStyle w:val="ListNumber"/>
      </w:pPr>
      <w:r>
        <w:rPr>
          <w:rFonts w:ascii="Calibri" w:hAnsi="Calibri"/>
          <w:color w:val="2F4E65"/>
          <w:sz w:val="22"/>
        </w:rPr>
        <w:t>Regional Manager approval before service for eviction-path, increase, and deposit notices.</w:t>
      </w:r>
    </w:p>
    <w:p>
      <w:pPr>
        <w:pStyle w:val="ListNumber"/>
      </w:pPr>
      <w:r>
        <w:rPr>
          <w:rFonts w:ascii="Calibri" w:hAnsi="Calibri"/>
          <w:color w:val="2F4E65"/>
          <w:sz w:val="22"/>
        </w:rPr>
        <w:t>Parakeet SC service standard (no single statutory method): hand delivery with signed acknowledgment PLUS first-class mail with certificate of mailing; certified mail for eviction-path and deposit notices.</w:t>
      </w:r>
    </w:p>
    <w:p>
      <w:pPr>
        <w:pStyle w:val="ListNumber"/>
      </w:pPr>
      <w:r>
        <w:rPr>
          <w:rFonts w:ascii="Calibri" w:hAnsi="Calibri"/>
          <w:color w:val="2F4E65"/>
          <w:sz w:val="22"/>
        </w:rPr>
        <w:t>Upload SAME DAY to Rent Manager History &amp; Notes + SharePoint Legal Notices. Naming: [YYYY-MM-DD] [Notice Type] [Lot] [Resident].</w:t>
      </w:r>
    </w:p>
    <w:p>
      <w:pPr>
        <w:pStyle w:val="ListNumber"/>
      </w:pPr>
      <w:r>
        <w:rPr>
          <w:rFonts w:ascii="Calibri" w:hAnsi="Calibri"/>
          <w:color w:val="2F4E65"/>
          <w:sz w:val="22"/>
        </w:rPr>
        <w:t>Calendar deadlines conservatively; mailed notices get 5 added days internally.</w:t>
      </w:r>
    </w:p>
    <w:p>
      <w:pPr>
        <w:pStyle w:val="ListNumber"/>
      </w:pPr>
      <w:r>
        <w:rPr>
          <w:rFonts w:ascii="Calibri" w:hAnsi="Calibri"/>
          <w:color w:val="2F4E65"/>
          <w:sz w:val="22"/>
        </w:rPr>
        <w:t>Regional Manager weekly audit; incomplete proof = re-serve before escalation.</w:t>
      </w:r>
    </w:p>
    <w:p>
      <w:pPr>
        <w:pStyle w:val="Heading1"/>
      </w:pPr>
      <w:r>
        <w:rPr>
          <w:rFonts w:ascii="Calibri" w:hAnsi="Calibri"/>
          <w:color w:val="2F4E65"/>
          <w:sz w:val="30"/>
        </w:rPr>
        <w:t>PROHIBITED SHORTCUTS</w:t>
      </w:r>
    </w:p>
    <w:p>
      <w:pPr>
        <w:pStyle w:val="ListBullet"/>
      </w:pPr>
      <w:r>
        <w:rPr>
          <w:rFonts w:ascii="Calibri" w:hAnsi="Calibri"/>
          <w:color w:val="2F4E65"/>
          <w:sz w:val="22"/>
        </w:rPr>
        <w:t>No text/email-only service unless the lease authorizes it for that notice type.</w:t>
      </w:r>
    </w:p>
    <w:p>
      <w:pPr>
        <w:pStyle w:val="ListBullet"/>
      </w:pPr>
      <w:r>
        <w:rPr>
          <w:rFonts w:ascii="Calibri" w:hAnsi="Calibri"/>
          <w:color w:val="2F4E65"/>
          <w:sz w:val="22"/>
        </w:rPr>
        <w:t>No enforcement on a notice with an incomplete proof package.</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777240-F029-4F1C-B20D-54C6618BAF2F}"/>
</file>

<file path=customXml/itemProps3.xml><?xml version="1.0" encoding="utf-8"?>
<ds:datastoreItem xmlns:ds="http://schemas.openxmlformats.org/officeDocument/2006/customXml" ds:itemID="{D41CEA51-F135-4ED3-8A76-13F33E7A6312}"/>
</file>

<file path=customXml/itemProps4.xml><?xml version="1.0" encoding="utf-8"?>
<ds:datastoreItem xmlns:ds="http://schemas.openxmlformats.org/officeDocument/2006/customXml" ds:itemID="{E6A9ECE5-BCBF-4D8B-8C4C-7D184633F92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