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824: Security Deposit Handling &amp; Refund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27-47-520 (lot tenancies); 27-40-410 (POH rentals)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return South Carolina deposits inside the 30-day windows. Both SC tracks carry the same hammer: wrongful withholding costs three times the amount withheld plus the resident's attorney fees.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Track A lot tenancy deposits — SC 27-47-520</w:t>
      </w:r>
    </w:p>
    <w:p>
      <w:pPr>
        <w:pStyle w:val="ListBullet"/>
      </w:pPr>
      <w:r>
        <w:rPr>
          <w:rFonts w:ascii="Calibri" w:hAnsi="Calibri"/>
          <w:color w:val="2F4E65"/>
          <w:sz w:val="22"/>
        </w:rPr>
        <w:t>Track B park-owned home rental deposits — SC 27-40-410</w:t>
      </w:r>
    </w:p>
    <w:p>
      <w:pPr>
        <w:pStyle w:val="Heading2"/>
      </w:pPr>
      <w:r>
        <w:rPr>
          <w:rFonts w:ascii="Calibri" w:hAnsi="Calibri"/>
          <w:color w:val="2F4E65"/>
          <w:sz w:val="24"/>
        </w:rPr>
        <w:t>Trigger</w:t>
      </w:r>
    </w:p>
    <w:p>
      <w:r>
        <w:rPr>
          <w:rFonts w:ascii="Calibri" w:hAnsi="Calibri"/>
          <w:b w:val="0"/>
          <w:color w:val="2F4E65"/>
          <w:sz w:val="22"/>
        </w:rPr>
        <w:t>A deposit is received or an SC tenancy terminates.</w:t>
      </w:r>
    </w:p>
    <w:p>
      <w:pPr>
        <w:pStyle w:val="Heading2"/>
      </w:pPr>
      <w:r>
        <w:rPr>
          <w:rFonts w:ascii="Calibri" w:hAnsi="Calibri"/>
          <w:color w:val="2F4E65"/>
          <w:sz w:val="24"/>
        </w:rPr>
        <w:t>Finish Line</w:t>
      </w:r>
    </w:p>
    <w:p>
      <w:r>
        <w:rPr>
          <w:rFonts w:ascii="Calibri" w:hAnsi="Calibri"/>
          <w:b w:val="0"/>
          <w:color w:val="2F4E65"/>
          <w:sz w:val="22"/>
        </w:rPr>
        <w:t>Deposit refunded or lawfully retained with itemized written notice inside 30 days,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SC deposits in the designated deposit account; issues refunds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Move-out inspection with photos; damage pricing; timeline execution</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Approves every retention; weekly clock audit</w:t>
            </w:r>
          </w:p>
        </w:tc>
      </w:tr>
      <w:tr>
        <w:tc>
          <w:tcPr>
            <w:tcW w:type="dxa" w:w="3168"/>
            <w:shd w:val="clear" w:fill="F5F7F8"/>
          </w:tcPr>
          <w:p>
            <w:r/>
            <w:r>
              <w:rPr>
                <w:rFonts w:ascii="Calibri" w:hAnsi="Calibri"/>
                <w:b w:val="0"/>
                <w:color w:val="2F4E65"/>
                <w:sz w:val="20"/>
              </w:rPr>
              <w:t>Operations Coordinator</w:t>
            </w:r>
          </w:p>
        </w:tc>
        <w:tc>
          <w:tcPr>
            <w:tcW w:type="dxa" w:w="6768"/>
            <w:shd w:val="clear" w:fill="F5F7F8"/>
          </w:tcPr>
          <w:p>
            <w:r/>
            <w:r>
              <w:rPr>
                <w:rFonts w:ascii="Calibri" w:hAnsi="Calibri"/>
                <w:b w:val="0"/>
                <w:color w:val="2F4E65"/>
                <w:sz w:val="20"/>
              </w:rPr>
              <w:t>Itemization notice template and calendar</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refund/itemization</w:t>
            </w:r>
          </w:p>
        </w:tc>
        <w:tc>
          <w:tcPr>
            <w:tcW w:type="dxa" w:w="3888"/>
          </w:tcPr>
          <w:p>
            <w:r/>
            <w:r>
              <w:rPr>
                <w:rFonts w:ascii="Calibri" w:hAnsi="Calibri"/>
                <w:b w:val="0"/>
                <w:color w:val="2F4E65"/>
                <w:sz w:val="20"/>
              </w:rPr>
              <w:t>Return within 30 DAYS after termination, less itemized documented deductions for unpaid rent or damages (written itemization)</w:t>
            </w:r>
          </w:p>
        </w:tc>
        <w:tc>
          <w:tcPr>
            <w:tcW w:type="dxa" w:w="2160"/>
          </w:tcPr>
          <w:p>
            <w:r/>
            <w:r>
              <w:rPr>
                <w:rFonts w:ascii="Calibri" w:hAnsi="Calibri"/>
                <w:b w:val="0"/>
                <w:color w:val="2F4E65"/>
                <w:sz w:val="20"/>
              </w:rPr>
              <w:t>SC 27-47-520</w:t>
            </w:r>
          </w:p>
        </w:tc>
      </w:tr>
      <w:tr>
        <w:tc>
          <w:tcPr>
            <w:tcW w:type="dxa" w:w="3888"/>
            <w:shd w:val="clear" w:fill="F5F7F8"/>
          </w:tcPr>
          <w:p>
            <w:r/>
            <w:r>
              <w:rPr>
                <w:rFonts w:ascii="Calibri" w:hAnsi="Calibri"/>
                <w:b w:val="0"/>
                <w:color w:val="2F4E65"/>
                <w:sz w:val="20"/>
              </w:rPr>
              <w:t>TRACK B refund/itemization</w:t>
            </w:r>
          </w:p>
        </w:tc>
        <w:tc>
          <w:tcPr>
            <w:tcW w:type="dxa" w:w="3888"/>
            <w:shd w:val="clear" w:fill="F5F7F8"/>
          </w:tcPr>
          <w:p>
            <w:r/>
            <w:r>
              <w:rPr>
                <w:rFonts w:ascii="Calibri" w:hAnsi="Calibri"/>
                <w:b w:val="0"/>
                <w:color w:val="2F4E65"/>
                <w:sz w:val="20"/>
              </w:rPr>
              <w:t>Itemized written notice of any deduction + amount due within 30 DAYS after (a) termination and delivery of possession, or (b) tenant demand — whichever is LATER</w:t>
            </w:r>
          </w:p>
        </w:tc>
        <w:tc>
          <w:tcPr>
            <w:tcW w:type="dxa" w:w="2160"/>
            <w:shd w:val="clear" w:fill="F5F7F8"/>
          </w:tcPr>
          <w:p>
            <w:r/>
            <w:r>
              <w:rPr>
                <w:rFonts w:ascii="Calibri" w:hAnsi="Calibri"/>
                <w:b w:val="0"/>
                <w:color w:val="2F4E65"/>
                <w:sz w:val="20"/>
              </w:rPr>
              <w:t>SC 27-40-410</w:t>
            </w:r>
          </w:p>
        </w:tc>
      </w:tr>
      <w:tr>
        <w:tc>
          <w:tcPr>
            <w:tcW w:type="dxa" w:w="3888"/>
          </w:tcPr>
          <w:p>
            <w:r/>
            <w:r>
              <w:rPr>
                <w:rFonts w:ascii="Calibri" w:hAnsi="Calibri"/>
                <w:b w:val="0"/>
                <w:color w:val="2F4E65"/>
                <w:sz w:val="20"/>
              </w:rPr>
              <w:t>Penalty — both tracks</w:t>
            </w:r>
          </w:p>
        </w:tc>
        <w:tc>
          <w:tcPr>
            <w:tcW w:type="dxa" w:w="3888"/>
          </w:tcPr>
          <w:p>
            <w:r/>
            <w:r>
              <w:rPr>
                <w:rFonts w:ascii="Calibri" w:hAnsi="Calibri"/>
                <w:b w:val="0"/>
                <w:color w:val="2F4E65"/>
                <w:sz w:val="20"/>
              </w:rPr>
              <w:t>Wrongful withholding: 3x the amount wrongfully withheld + reasonable attorney fees</w:t>
            </w:r>
          </w:p>
        </w:tc>
        <w:tc>
          <w:tcPr>
            <w:tcW w:type="dxa" w:w="2160"/>
          </w:tcPr>
          <w:p>
            <w:r/>
            <w:r>
              <w:rPr>
                <w:rFonts w:ascii="Calibri" w:hAnsi="Calibri"/>
                <w:b w:val="0"/>
                <w:color w:val="2F4E65"/>
                <w:sz w:val="20"/>
              </w:rPr>
              <w:t>SC 27-47-520; 27-40-410</w:t>
            </w:r>
          </w:p>
        </w:tc>
      </w:tr>
      <w:tr>
        <w:tc>
          <w:tcPr>
            <w:tcW w:type="dxa" w:w="3888"/>
            <w:shd w:val="clear" w:fill="F5F7F8"/>
          </w:tcPr>
          <w:p>
            <w:r/>
            <w:r>
              <w:rPr>
                <w:rFonts w:ascii="Calibri" w:hAnsi="Calibri"/>
                <w:b w:val="0"/>
                <w:color w:val="2F4E65"/>
                <w:sz w:val="20"/>
              </w:rPr>
              <w:t>Normal wear and tear</w:t>
            </w:r>
          </w:p>
        </w:tc>
        <w:tc>
          <w:tcPr>
            <w:tcW w:type="dxa" w:w="3888"/>
            <w:shd w:val="clear" w:fill="F5F7F8"/>
          </w:tcPr>
          <w:p>
            <w:r/>
            <w:r>
              <w:rPr>
                <w:rFonts w:ascii="Calibri" w:hAnsi="Calibri"/>
                <w:b w:val="0"/>
                <w:color w:val="2F4E65"/>
                <w:sz w:val="20"/>
              </w:rPr>
              <w:t>Not deductible — document actual damage with photos against move-in condition</w:t>
            </w:r>
          </w:p>
        </w:tc>
        <w:tc>
          <w:tcPr>
            <w:tcW w:type="dxa" w:w="2160"/>
            <w:shd w:val="clear" w:fill="F5F7F8"/>
          </w:tcPr>
          <w:p>
            <w:r/>
            <w:r>
              <w:rPr>
                <w:rFonts w:ascii="Calibri" w:hAnsi="Calibri"/>
                <w:b w:val="0"/>
                <w:color w:val="2F4E65"/>
                <w:sz w:val="20"/>
              </w:rPr>
              <w:t>Both</w:t>
            </w:r>
          </w:p>
        </w:tc>
      </w:tr>
    </w:tbl>
    <w:p>
      <w:pPr>
        <w:pStyle w:val="Heading1"/>
      </w:pPr>
      <w:r>
        <w:rPr>
          <w:rFonts w:ascii="Calibri" w:hAnsi="Calibri"/>
          <w:color w:val="2F4E65"/>
          <w:sz w:val="30"/>
        </w:rPr>
        <w:t>PROCEDURE</w:t>
      </w:r>
    </w:p>
    <w:p>
      <w:pPr>
        <w:pStyle w:val="Heading2"/>
      </w:pPr>
      <w:r>
        <w:rPr>
          <w:rFonts w:ascii="Calibri" w:hAnsi="Calibri"/>
          <w:color w:val="2F4E65"/>
          <w:sz w:val="24"/>
        </w:rPr>
        <w:t>Phase 1 — Receipt</w:t>
      </w:r>
    </w:p>
    <w:p>
      <w:pPr>
        <w:pStyle w:val="ListNumber"/>
      </w:pPr>
      <w:r>
        <w:rPr>
          <w:rFonts w:ascii="Calibri" w:hAnsi="Calibri"/>
          <w:color w:val="2F4E65"/>
          <w:sz w:val="22"/>
        </w:rPr>
        <w:t>Community Manager — records deposit in Rent Manager with a signed move-in condition report (photos).</w:t>
      </w:r>
    </w:p>
    <w:p>
      <w:pPr>
        <w:pStyle w:val="ListNumber"/>
      </w:pPr>
      <w:r>
        <w:rPr>
          <w:rFonts w:ascii="Calibri" w:hAnsi="Calibri"/>
          <w:color w:val="2F4E65"/>
          <w:sz w:val="22"/>
        </w:rPr>
        <w:t>Accounting / Finance — sweeps to the designated SC deposit account.</w:t>
      </w:r>
    </w:p>
    <w:p>
      <w:pPr>
        <w:pStyle w:val="Heading2"/>
      </w:pPr>
      <w:r>
        <w:rPr>
          <w:rFonts w:ascii="Calibri" w:hAnsi="Calibri"/>
          <w:color w:val="2F4E65"/>
          <w:sz w:val="24"/>
        </w:rPr>
        <w:t>Phase 2 — Move-Out  ·  Day 0 = termination/possession</w:t>
      </w:r>
    </w:p>
    <w:p>
      <w:pPr>
        <w:pStyle w:val="ListNumber"/>
      </w:pPr>
      <w:r>
        <w:rPr>
          <w:rFonts w:ascii="Calibri" w:hAnsi="Calibri"/>
          <w:color w:val="2F4E65"/>
          <w:sz w:val="22"/>
        </w:rPr>
        <w:t>Community Manager — inspection within 48 hours of possession: date-stamped photos vs move-in report.</w:t>
      </w:r>
    </w:p>
    <w:p>
      <w:pPr>
        <w:pStyle w:val="ListNumber"/>
      </w:pPr>
      <w:r>
        <w:rPr>
          <w:rFonts w:ascii="Calibri" w:hAnsi="Calibri"/>
          <w:color w:val="2F4E65"/>
          <w:sz w:val="22"/>
        </w:rPr>
        <w:t>Damage pricing + claim recommendation to Regional Manager by Day 7; Regional Manager decision by Day 10.</w:t>
      </w:r>
    </w:p>
    <w:p>
      <w:pPr>
        <w:pStyle w:val="Heading2"/>
      </w:pPr>
      <w:r>
        <w:rPr>
          <w:rFonts w:ascii="Calibri" w:hAnsi="Calibri"/>
          <w:color w:val="2F4E65"/>
          <w:sz w:val="24"/>
        </w:rPr>
        <w:t>Phase 3 — Refund or Itemize  ·  hard stop Day 30, internal Day 25</w:t>
      </w:r>
    </w:p>
    <w:p>
      <w:pPr>
        <w:pStyle w:val="ListNumber"/>
      </w:pPr>
      <w:r>
        <w:rPr>
          <w:rFonts w:ascii="Calibri" w:hAnsi="Calibri"/>
          <w:color w:val="2F4E65"/>
          <w:sz w:val="22"/>
        </w:rPr>
        <w:t>No deductions: full refund mailed by Day 25.</w:t>
      </w:r>
    </w:p>
    <w:p>
      <w:pPr>
        <w:pStyle w:val="ListNumber"/>
      </w:pPr>
      <w:r>
        <w:rPr>
          <w:rFonts w:ascii="Calibri" w:hAnsi="Calibri"/>
          <w:color w:val="2F4E65"/>
          <w:sz w:val="22"/>
        </w:rPr>
        <w:t>Deductions: itemized written notice (each deduction + amount) with the refund balance, mailed certified by Day 25.</w:t>
      </w:r>
    </w:p>
    <w:p>
      <w:pPr>
        <w:pStyle w:val="ListNumber"/>
      </w:pPr>
      <w:r>
        <w:rPr>
          <w:rFonts w:ascii="Calibri" w:hAnsi="Calibri"/>
          <w:color w:val="2F4E65"/>
          <w:sz w:val="22"/>
        </w:rPr>
        <w:t>Never deduct for normal wear and tear; if it would not survive a treble-damages hearing, do not deduct it.</w:t>
      </w:r>
    </w:p>
    <w:p>
      <w:pPr>
        <w:pStyle w:val="ListNumber"/>
      </w:pPr>
      <w:r>
        <w:rPr>
          <w:rFonts w:ascii="Calibri" w:hAnsi="Calibri"/>
          <w:color w:val="2F4E65"/>
          <w:sz w:val="22"/>
        </w:rPr>
        <w:t>Document in Rent Manager: itemization, photos, check number, mailing proof.</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condition reports, photos, itemization, mail proof, ledger. Weekly Regional Manager clock audit. Retention: 7 years.</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715ADD-5A62-45A4-BF9D-758AB8BD4455}"/>
</file>

<file path=customXml/itemProps3.xml><?xml version="1.0" encoding="utf-8"?>
<ds:datastoreItem xmlns:ds="http://schemas.openxmlformats.org/officeDocument/2006/customXml" ds:itemID="{B6441926-6906-4A50-A3C7-C5F6A5648EAF}"/>
</file>

<file path=customXml/itemProps4.xml><?xml version="1.0" encoding="utf-8"?>
<ds:datastoreItem xmlns:ds="http://schemas.openxmlformats.org/officeDocument/2006/customXml" ds:itemID="{E56BD688-976C-4538-B9B4-25B422EAF6C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