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8803" w14:textId="074C2F26" w:rsidR="00FD66C3" w:rsidRDefault="000005F9">
      <w:r>
        <w:rPr>
          <w:b/>
          <w:sz w:val="36"/>
        </w:rPr>
        <w:t>2026 Budget Workbook</w:t>
      </w:r>
      <w:r>
        <w:rPr>
          <w:b/>
          <w:sz w:val="36"/>
        </w:rPr>
        <w:br/>
        <w:t>Regional Manager Handout</w:t>
      </w:r>
    </w:p>
    <w:p w14:paraId="1F9C97B6" w14:textId="77777777" w:rsidR="00FD66C3" w:rsidRDefault="000005F9">
      <w:pPr>
        <w:spacing w:line="240" w:lineRule="auto"/>
      </w:pPr>
      <w:r>
        <w:t>Use this guide to quickly understand what the workbook is telling you, where to look, and what actions to take.</w:t>
      </w:r>
    </w:p>
    <w:p w14:paraId="5574D292" w14:textId="10B98A6B" w:rsidR="00FD66C3" w:rsidRDefault="000005F9">
      <w:pPr>
        <w:spacing w:before="160" w:after="80"/>
      </w:pPr>
      <w:r>
        <w:rPr>
          <w:b/>
          <w:sz w:val="25"/>
        </w:rPr>
        <w:t xml:space="preserve">What this workbook is </w:t>
      </w:r>
    </w:p>
    <w:p w14:paraId="7DBF0061" w14:textId="77777777" w:rsidR="00FD66C3" w:rsidRDefault="000005F9">
      <w:pPr>
        <w:pStyle w:val="ListBullet"/>
        <w:spacing w:after="0"/>
      </w:pPr>
      <w:r>
        <w:t>The 2026 budget model for the community (income, expenses, CapEx, and key assumptions).</w:t>
      </w:r>
    </w:p>
    <w:p w14:paraId="237E852C" w14:textId="77777777" w:rsidR="00FD66C3" w:rsidRDefault="000005F9">
      <w:pPr>
        <w:pStyle w:val="ListBullet"/>
        <w:spacing w:after="0"/>
      </w:pPr>
      <w:r>
        <w:t>A management tool: it sets expectations and makes variances obvious early.</w:t>
      </w:r>
    </w:p>
    <w:p w14:paraId="47C7AD3E" w14:textId="77777777" w:rsidR="00FD66C3" w:rsidRDefault="000005F9">
      <w:pPr>
        <w:pStyle w:val="ListBullet"/>
        <w:spacing w:after="0"/>
      </w:pPr>
      <w:r>
        <w:t>Not a cash balance report and not something to edit without approval.</w:t>
      </w:r>
    </w:p>
    <w:p w14:paraId="524E0F92" w14:textId="77777777" w:rsidR="00FD66C3" w:rsidRDefault="000005F9">
      <w:pPr>
        <w:spacing w:before="160" w:after="80"/>
      </w:pPr>
      <w:r>
        <w:rPr>
          <w:b/>
          <w:sz w:val="25"/>
        </w:rPr>
        <w:t>Your job as a Regional</w:t>
      </w:r>
    </w:p>
    <w:p w14:paraId="17B82B09" w14:textId="77777777" w:rsidR="00FD66C3" w:rsidRDefault="000005F9">
      <w:pPr>
        <w:pStyle w:val="ListBullet"/>
        <w:spacing w:after="0"/>
      </w:pPr>
      <w:r>
        <w:t>Know the 2026 assumptions (occupancy, rent/reimbursables, controllable expenses, CapEx timing).</w:t>
      </w:r>
    </w:p>
    <w:p w14:paraId="0F57A754" w14:textId="77777777" w:rsidR="00FD66C3" w:rsidRDefault="000005F9">
      <w:pPr>
        <w:pStyle w:val="ListBullet"/>
        <w:spacing w:after="0"/>
      </w:pPr>
      <w:r>
        <w:t>Run operations to hit the plan (or flag risks early with clear reasons).</w:t>
      </w:r>
    </w:p>
    <w:p w14:paraId="30BAF7B1" w14:textId="77777777" w:rsidR="00FD66C3" w:rsidRDefault="000005F9">
      <w:pPr>
        <w:pStyle w:val="ListBullet"/>
        <w:spacing w:after="0"/>
      </w:pPr>
      <w:r>
        <w:t>Coach managers using budget categories (not vibes).</w:t>
      </w:r>
    </w:p>
    <w:p w14:paraId="0FBD014B" w14:textId="77777777" w:rsidR="00FD66C3" w:rsidRDefault="000005F9">
      <w:pPr>
        <w:spacing w:before="160" w:after="80"/>
      </w:pPr>
      <w:r>
        <w:rPr>
          <w:b/>
          <w:sz w:val="25"/>
        </w:rPr>
        <w:t>How to navigate (3-layer model)</w:t>
      </w:r>
    </w:p>
    <w:p w14:paraId="60E7525E" w14:textId="77777777" w:rsidR="00FD66C3" w:rsidRDefault="000005F9">
      <w:pPr>
        <w:pStyle w:val="ListBullet"/>
        <w:spacing w:after="0"/>
      </w:pPr>
      <w:r>
        <w:t>Layer 1: Snapshot - What should happen? (high-level view)</w:t>
      </w:r>
    </w:p>
    <w:p w14:paraId="254FBBDD" w14:textId="77777777" w:rsidR="00FD66C3" w:rsidRDefault="000005F9">
      <w:pPr>
        <w:pStyle w:val="ListBullet"/>
        <w:spacing w:after="0"/>
      </w:pPr>
      <w:r>
        <w:t>Layer 2: Detail - Why does it look this way? (full P&amp;L categories)</w:t>
      </w:r>
    </w:p>
    <w:p w14:paraId="7EE6CD58" w14:textId="77777777" w:rsidR="00FD66C3" w:rsidRDefault="000005F9">
      <w:pPr>
        <w:pStyle w:val="ListBullet"/>
        <w:spacing w:after="0"/>
      </w:pPr>
      <w:r>
        <w:t>Layer 3: Drivers - What makes it true? (rent roll, infill timing, CapEx schedule)</w:t>
      </w:r>
    </w:p>
    <w:p w14:paraId="7760B4C8" w14:textId="77777777" w:rsidR="00FD66C3" w:rsidRDefault="000005F9">
      <w:pPr>
        <w:spacing w:before="160" w:after="80"/>
      </w:pPr>
      <w:r>
        <w:rPr>
          <w:b/>
          <w:sz w:val="25"/>
        </w:rPr>
        <w:t>Where to start every time (5-minute routine)</w:t>
      </w:r>
    </w:p>
    <w:p w14:paraId="54045AC2" w14:textId="77777777" w:rsidR="00FD66C3" w:rsidRDefault="000005F9">
      <w:pPr>
        <w:pStyle w:val="ListBullet"/>
        <w:spacing w:after="0"/>
      </w:pPr>
      <w:r>
        <w:t>Open the '2026 Budget' tab and scan: Core Occupancy, Avg Rent + Reimb/Core, Total Income, Total Expenses, NOI Margin, CapEx.</w:t>
      </w:r>
    </w:p>
    <w:p w14:paraId="461AB94A" w14:textId="77777777" w:rsidR="00FD66C3" w:rsidRDefault="000005F9">
      <w:pPr>
        <w:pStyle w:val="ListBullet"/>
        <w:spacing w:after="0"/>
      </w:pPr>
      <w:r>
        <w:t>Circle any big step-ups/step-downs from 2025 to 2026 (dollars and percent).</w:t>
      </w:r>
    </w:p>
    <w:p w14:paraId="0A432C8B" w14:textId="77777777" w:rsidR="00FD66C3" w:rsidRDefault="000005F9">
      <w:pPr>
        <w:pStyle w:val="ListBullet"/>
        <w:spacing w:after="0"/>
      </w:pPr>
      <w:r>
        <w:t>If something looks off, go to the driver tab listed below and validate the assumption.</w:t>
      </w:r>
    </w:p>
    <w:p w14:paraId="4E10901C" w14:textId="77777777" w:rsidR="00FD66C3" w:rsidRDefault="000005F9">
      <w:pPr>
        <w:spacing w:before="160" w:after="80"/>
      </w:pPr>
      <w:r>
        <w:rPr>
          <w:b/>
          <w:sz w:val="25"/>
        </w:rPr>
        <w:t>Tab map - what to use and when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D66C3" w14:paraId="065465B6" w14:textId="77777777">
        <w:trPr>
          <w:cantSplit/>
          <w:tblHeader/>
          <w:jc w:val="center"/>
        </w:trPr>
        <w:tc>
          <w:tcPr>
            <w:tcW w:w="3360" w:type="dxa"/>
            <w:shd w:val="clear" w:color="auto" w:fill="D9E1F2"/>
          </w:tcPr>
          <w:p w14:paraId="6C75642D" w14:textId="77777777" w:rsidR="00FD66C3" w:rsidRDefault="000005F9">
            <w:r>
              <w:rPr>
                <w:b/>
                <w:sz w:val="20"/>
              </w:rPr>
              <w:t>If you need to answer...</w:t>
            </w:r>
          </w:p>
        </w:tc>
        <w:tc>
          <w:tcPr>
            <w:tcW w:w="3360" w:type="dxa"/>
            <w:shd w:val="clear" w:color="auto" w:fill="D9E1F2"/>
          </w:tcPr>
          <w:p w14:paraId="6E9102AA" w14:textId="77777777" w:rsidR="00FD66C3" w:rsidRDefault="000005F9">
            <w:r>
              <w:rPr>
                <w:b/>
                <w:sz w:val="20"/>
              </w:rPr>
              <w:t>Go to this tab</w:t>
            </w:r>
          </w:p>
        </w:tc>
        <w:tc>
          <w:tcPr>
            <w:tcW w:w="3360" w:type="dxa"/>
            <w:shd w:val="clear" w:color="auto" w:fill="D9E1F2"/>
          </w:tcPr>
          <w:p w14:paraId="4C201863" w14:textId="77777777" w:rsidR="00FD66C3" w:rsidRDefault="000005F9">
            <w:r>
              <w:rPr>
                <w:b/>
                <w:sz w:val="20"/>
              </w:rPr>
              <w:t>What to check</w:t>
            </w:r>
          </w:p>
        </w:tc>
      </w:tr>
      <w:tr w:rsidR="00FD66C3" w14:paraId="382C416B" w14:textId="77777777">
        <w:trPr>
          <w:cantSplit/>
          <w:jc w:val="center"/>
        </w:trPr>
        <w:tc>
          <w:tcPr>
            <w:tcW w:w="3360" w:type="dxa"/>
          </w:tcPr>
          <w:p w14:paraId="6ECE9F20" w14:textId="77777777" w:rsidR="00FD66C3" w:rsidRDefault="000005F9">
            <w:r>
              <w:rPr>
                <w:sz w:val="20"/>
              </w:rPr>
              <w:t>How is the property expected to perform in 2026?</w:t>
            </w:r>
          </w:p>
        </w:tc>
        <w:tc>
          <w:tcPr>
            <w:tcW w:w="3360" w:type="dxa"/>
          </w:tcPr>
          <w:p w14:paraId="07BB8EAE" w14:textId="77777777" w:rsidR="00FD66C3" w:rsidRDefault="000005F9">
            <w:r>
              <w:rPr>
                <w:sz w:val="20"/>
              </w:rPr>
              <w:t>2026 Budget</w:t>
            </w:r>
          </w:p>
        </w:tc>
        <w:tc>
          <w:tcPr>
            <w:tcW w:w="3360" w:type="dxa"/>
          </w:tcPr>
          <w:p w14:paraId="415D6D05" w14:textId="77777777" w:rsidR="00FD66C3" w:rsidRDefault="000005F9">
            <w:r>
              <w:rPr>
                <w:sz w:val="20"/>
              </w:rPr>
              <w:t>Occupancy, Avg Rent+Reimb, Total Income/Expenses, NOI Margin, CapEx, Cash Flow</w:t>
            </w:r>
          </w:p>
        </w:tc>
      </w:tr>
      <w:tr w:rsidR="00FD66C3" w14:paraId="4790FD8C" w14:textId="77777777">
        <w:trPr>
          <w:cantSplit/>
          <w:jc w:val="center"/>
        </w:trPr>
        <w:tc>
          <w:tcPr>
            <w:tcW w:w="3360" w:type="dxa"/>
          </w:tcPr>
          <w:p w14:paraId="14D66F3B" w14:textId="77777777" w:rsidR="00FD66C3" w:rsidRDefault="000005F9">
            <w:r>
              <w:rPr>
                <w:sz w:val="20"/>
              </w:rPr>
              <w:t>Which expense bucket is driving a variance?</w:t>
            </w:r>
          </w:p>
        </w:tc>
        <w:tc>
          <w:tcPr>
            <w:tcW w:w="3360" w:type="dxa"/>
          </w:tcPr>
          <w:p w14:paraId="0175D73F" w14:textId="77777777" w:rsidR="00FD66C3" w:rsidRDefault="000005F9">
            <w:r>
              <w:rPr>
                <w:sz w:val="20"/>
              </w:rPr>
              <w:t>2026 - Rpt</w:t>
            </w:r>
          </w:p>
        </w:tc>
        <w:tc>
          <w:tcPr>
            <w:tcW w:w="3360" w:type="dxa"/>
          </w:tcPr>
          <w:p w14:paraId="20CF30D4" w14:textId="77777777" w:rsidR="00FD66C3" w:rsidRDefault="000005F9">
            <w:r>
              <w:rPr>
                <w:sz w:val="20"/>
              </w:rPr>
              <w:t>Payroll, R&amp;M, Utilities, Contract Services, Marketing, Admin - compare to 2026 column</w:t>
            </w:r>
          </w:p>
        </w:tc>
      </w:tr>
      <w:tr w:rsidR="00FD66C3" w14:paraId="31DE8266" w14:textId="77777777">
        <w:trPr>
          <w:cantSplit/>
          <w:jc w:val="center"/>
        </w:trPr>
        <w:tc>
          <w:tcPr>
            <w:tcW w:w="3360" w:type="dxa"/>
          </w:tcPr>
          <w:p w14:paraId="205BC29C" w14:textId="77777777" w:rsidR="00FD66C3" w:rsidRDefault="000005F9">
            <w:r>
              <w:rPr>
                <w:sz w:val="20"/>
              </w:rPr>
              <w:t>Where did rental income assumptions come from?</w:t>
            </w:r>
          </w:p>
        </w:tc>
        <w:tc>
          <w:tcPr>
            <w:tcW w:w="3360" w:type="dxa"/>
          </w:tcPr>
          <w:p w14:paraId="7B459543" w14:textId="77777777" w:rsidR="00FD66C3" w:rsidRDefault="000005F9">
            <w:r>
              <w:rPr>
                <w:sz w:val="20"/>
              </w:rPr>
              <w:t>Rent Roll Module</w:t>
            </w:r>
          </w:p>
        </w:tc>
        <w:tc>
          <w:tcPr>
            <w:tcW w:w="3360" w:type="dxa"/>
          </w:tcPr>
          <w:p w14:paraId="377C2D31" w14:textId="77777777" w:rsidR="00FD66C3" w:rsidRDefault="000005F9">
            <w:r>
              <w:rPr>
                <w:sz w:val="20"/>
              </w:rPr>
              <w:t>Vacant/eviction units, fill dates, rent levels, POH flags, reimbursements</w:t>
            </w:r>
          </w:p>
        </w:tc>
      </w:tr>
      <w:tr w:rsidR="00FD66C3" w14:paraId="0E2EF001" w14:textId="77777777">
        <w:trPr>
          <w:cantSplit/>
          <w:jc w:val="center"/>
        </w:trPr>
        <w:tc>
          <w:tcPr>
            <w:tcW w:w="3360" w:type="dxa"/>
          </w:tcPr>
          <w:p w14:paraId="403D557A" w14:textId="77777777" w:rsidR="00FD66C3" w:rsidRDefault="000005F9">
            <w:r>
              <w:rPr>
                <w:sz w:val="20"/>
              </w:rPr>
              <w:t>Is the infill/sales plan realistic?</w:t>
            </w:r>
          </w:p>
        </w:tc>
        <w:tc>
          <w:tcPr>
            <w:tcW w:w="3360" w:type="dxa"/>
          </w:tcPr>
          <w:p w14:paraId="0C04FBAC" w14:textId="77777777" w:rsidR="00FD66C3" w:rsidRDefault="000005F9">
            <w:r>
              <w:rPr>
                <w:sz w:val="20"/>
              </w:rPr>
              <w:t>Infill-Sales</w:t>
            </w:r>
          </w:p>
        </w:tc>
        <w:tc>
          <w:tcPr>
            <w:tcW w:w="3360" w:type="dxa"/>
          </w:tcPr>
          <w:p w14:paraId="36379A80" w14:textId="77777777" w:rsidR="00FD66C3" w:rsidRDefault="000005F9">
            <w:r>
              <w:rPr>
                <w:sz w:val="20"/>
              </w:rPr>
              <w:t>Which lots/units, timing (fill/occ), sell vs rent, cost stack, revenue assumptions</w:t>
            </w:r>
          </w:p>
        </w:tc>
      </w:tr>
      <w:tr w:rsidR="00FD66C3" w14:paraId="271397CE" w14:textId="77777777">
        <w:trPr>
          <w:cantSplit/>
          <w:jc w:val="center"/>
        </w:trPr>
        <w:tc>
          <w:tcPr>
            <w:tcW w:w="3360" w:type="dxa"/>
          </w:tcPr>
          <w:p w14:paraId="39B9FF20" w14:textId="77777777" w:rsidR="00FD66C3" w:rsidRDefault="000005F9">
            <w:r>
              <w:rPr>
                <w:sz w:val="20"/>
              </w:rPr>
              <w:t>What big projects are planned and when?</w:t>
            </w:r>
          </w:p>
        </w:tc>
        <w:tc>
          <w:tcPr>
            <w:tcW w:w="3360" w:type="dxa"/>
          </w:tcPr>
          <w:p w14:paraId="2F7D4146" w14:textId="77777777" w:rsidR="00FD66C3" w:rsidRDefault="000005F9">
            <w:r>
              <w:rPr>
                <w:sz w:val="20"/>
              </w:rPr>
              <w:t>CapEx</w:t>
            </w:r>
          </w:p>
        </w:tc>
        <w:tc>
          <w:tcPr>
            <w:tcW w:w="3360" w:type="dxa"/>
          </w:tcPr>
          <w:p w14:paraId="733DDB51" w14:textId="77777777" w:rsidR="00FD66C3" w:rsidRDefault="000005F9">
            <w:r>
              <w:rPr>
                <w:sz w:val="20"/>
              </w:rPr>
              <w:t>Project list, timing, category/GL mapping, monthly spread</w:t>
            </w:r>
          </w:p>
        </w:tc>
      </w:tr>
      <w:tr w:rsidR="00FD66C3" w14:paraId="6F470D3D" w14:textId="77777777">
        <w:trPr>
          <w:cantSplit/>
          <w:jc w:val="center"/>
        </w:trPr>
        <w:tc>
          <w:tcPr>
            <w:tcW w:w="3360" w:type="dxa"/>
          </w:tcPr>
          <w:p w14:paraId="35B38A89" w14:textId="77777777" w:rsidR="00FD66C3" w:rsidRDefault="000005F9">
            <w:r>
              <w:rPr>
                <w:sz w:val="20"/>
              </w:rPr>
              <w:lastRenderedPageBreak/>
              <w:t>What is the true total cost profile (including fixed items)?</w:t>
            </w:r>
          </w:p>
        </w:tc>
        <w:tc>
          <w:tcPr>
            <w:tcW w:w="3360" w:type="dxa"/>
          </w:tcPr>
          <w:p w14:paraId="43D6754C" w14:textId="77777777" w:rsidR="00FD66C3" w:rsidRDefault="000005F9">
            <w:r>
              <w:rPr>
                <w:sz w:val="20"/>
              </w:rPr>
              <w:t>Total Cost</w:t>
            </w:r>
          </w:p>
        </w:tc>
        <w:tc>
          <w:tcPr>
            <w:tcW w:w="3360" w:type="dxa"/>
          </w:tcPr>
          <w:p w14:paraId="155EC20C" w14:textId="77777777" w:rsidR="00FD66C3" w:rsidRDefault="000005F9">
            <w:r>
              <w:rPr>
                <w:sz w:val="20"/>
              </w:rPr>
              <w:t>Total operating + CapEx view; year-by-year totals; compare across years</w:t>
            </w:r>
          </w:p>
        </w:tc>
      </w:tr>
      <w:tr w:rsidR="00FD66C3" w14:paraId="608BAEDE" w14:textId="77777777">
        <w:trPr>
          <w:cantSplit/>
          <w:jc w:val="center"/>
        </w:trPr>
        <w:tc>
          <w:tcPr>
            <w:tcW w:w="3360" w:type="dxa"/>
          </w:tcPr>
          <w:p w14:paraId="13D3D6EC" w14:textId="77777777" w:rsidR="00FD66C3" w:rsidRDefault="000005F9">
            <w:r>
              <w:rPr>
                <w:sz w:val="20"/>
              </w:rPr>
              <w:t>Need quick property facts (codes, county, baseline info)?</w:t>
            </w:r>
          </w:p>
        </w:tc>
        <w:tc>
          <w:tcPr>
            <w:tcW w:w="3360" w:type="dxa"/>
          </w:tcPr>
          <w:p w14:paraId="40E8D5A7" w14:textId="77777777" w:rsidR="00FD66C3" w:rsidRDefault="000005F9">
            <w:r>
              <w:rPr>
                <w:sz w:val="20"/>
              </w:rPr>
              <w:t>PDS</w:t>
            </w:r>
          </w:p>
        </w:tc>
        <w:tc>
          <w:tcPr>
            <w:tcW w:w="3360" w:type="dxa"/>
          </w:tcPr>
          <w:p w14:paraId="3F59512B" w14:textId="77777777" w:rsidR="00FD66C3" w:rsidRDefault="000005F9">
            <w:r>
              <w:rPr>
                <w:sz w:val="20"/>
              </w:rPr>
              <w:t>Property identifiers and baseline details (reference only)</w:t>
            </w:r>
          </w:p>
        </w:tc>
      </w:tr>
      <w:tr w:rsidR="00FD66C3" w14:paraId="32F1B1CE" w14:textId="77777777">
        <w:trPr>
          <w:cantSplit/>
          <w:jc w:val="center"/>
        </w:trPr>
        <w:tc>
          <w:tcPr>
            <w:tcW w:w="3360" w:type="dxa"/>
          </w:tcPr>
          <w:p w14:paraId="69C06917" w14:textId="77777777" w:rsidR="00FD66C3" w:rsidRDefault="000005F9">
            <w:r>
              <w:rPr>
                <w:sz w:val="20"/>
              </w:rPr>
              <w:t>Why does a fixed cost look high/low?</w:t>
            </w:r>
          </w:p>
        </w:tc>
        <w:tc>
          <w:tcPr>
            <w:tcW w:w="3360" w:type="dxa"/>
          </w:tcPr>
          <w:p w14:paraId="158C8D85" w14:textId="77777777" w:rsidR="00FD66C3" w:rsidRDefault="000005F9">
            <w:r>
              <w:rPr>
                <w:sz w:val="20"/>
              </w:rPr>
              <w:t>Insurance / Mortgage / Tax Modules</w:t>
            </w:r>
          </w:p>
        </w:tc>
        <w:tc>
          <w:tcPr>
            <w:tcW w:w="3360" w:type="dxa"/>
          </w:tcPr>
          <w:p w14:paraId="4C1DEBF3" w14:textId="77777777" w:rsidR="00FD66C3" w:rsidRDefault="000005F9">
            <w:r>
              <w:rPr>
                <w:sz w:val="20"/>
              </w:rPr>
              <w:t>Module assumptions; confirm timing/annualized amounts (FYI)</w:t>
            </w:r>
          </w:p>
        </w:tc>
      </w:tr>
    </w:tbl>
    <w:p w14:paraId="7D3EEE38" w14:textId="77777777" w:rsidR="00FD66C3" w:rsidRDefault="00FD66C3"/>
    <w:p w14:paraId="7245D7FF" w14:textId="77777777" w:rsidR="00FD66C3" w:rsidRDefault="000005F9">
      <w:pPr>
        <w:spacing w:before="160" w:after="80"/>
      </w:pPr>
      <w:r>
        <w:rPr>
          <w:b/>
          <w:sz w:val="25"/>
        </w:rPr>
        <w:t>Monthly checklist (what you should report up)</w:t>
      </w:r>
    </w:p>
    <w:p w14:paraId="7C7C4300" w14:textId="77777777" w:rsidR="00FD66C3" w:rsidRDefault="000005F9">
      <w:pPr>
        <w:pStyle w:val="ListBullet"/>
        <w:spacing w:after="0"/>
      </w:pPr>
      <w:r>
        <w:t>Occupancy: actual vs budget + top drivers (move-outs, evictions, leads, turn time, infill timing).</w:t>
      </w:r>
    </w:p>
    <w:p w14:paraId="46235075" w14:textId="77777777" w:rsidR="00FD66C3" w:rsidRDefault="000005F9">
      <w:pPr>
        <w:pStyle w:val="ListBullet"/>
        <w:spacing w:after="0"/>
      </w:pPr>
      <w:r>
        <w:t>Rent &amp; reimbursements: collections trends and any risk to billed revenue.</w:t>
      </w:r>
    </w:p>
    <w:p w14:paraId="53D28347" w14:textId="77777777" w:rsidR="00FD66C3" w:rsidRDefault="000005F9">
      <w:pPr>
        <w:pStyle w:val="ListBullet"/>
        <w:spacing w:after="0"/>
      </w:pPr>
      <w:r>
        <w:t>Top 3 controllable expense variances: what happened, what you did, and what changes next month.</w:t>
      </w:r>
    </w:p>
    <w:p w14:paraId="4E030E6A" w14:textId="77777777" w:rsidR="00FD66C3" w:rsidRDefault="000005F9">
      <w:pPr>
        <w:pStyle w:val="ListBullet"/>
        <w:spacing w:after="0"/>
      </w:pPr>
      <w:r>
        <w:t>CapEx: projects on deck this month, status, and any delays/risk items.</w:t>
      </w:r>
    </w:p>
    <w:p w14:paraId="664CC741" w14:textId="77777777" w:rsidR="00FD66C3" w:rsidRDefault="000005F9">
      <w:pPr>
        <w:pStyle w:val="ListBullet"/>
        <w:spacing w:after="0"/>
      </w:pPr>
      <w:r>
        <w:t>One clear ask (if needed): approval/support required to stay on plan.</w:t>
      </w:r>
    </w:p>
    <w:p w14:paraId="2A850525" w14:textId="77777777" w:rsidR="00FD66C3" w:rsidRDefault="000005F9">
      <w:pPr>
        <w:spacing w:before="160" w:after="80"/>
      </w:pPr>
      <w:r>
        <w:rPr>
          <w:b/>
          <w:sz w:val="25"/>
        </w:rPr>
        <w:t>Common red flags (catch these early)</w:t>
      </w:r>
    </w:p>
    <w:p w14:paraId="4C2331EF" w14:textId="77777777" w:rsidR="00FD66C3" w:rsidRDefault="000005F9">
      <w:pPr>
        <w:pStyle w:val="ListBullet"/>
        <w:spacing w:after="0"/>
      </w:pPr>
      <w:r>
        <w:t>Budget assumes fills that are not aligned with Construction/Sales reality.</w:t>
      </w:r>
    </w:p>
    <w:p w14:paraId="7D3F8153" w14:textId="77777777" w:rsidR="00FD66C3" w:rsidRDefault="000005F9">
      <w:pPr>
        <w:pStyle w:val="ListBullet"/>
        <w:spacing w:after="0"/>
      </w:pPr>
      <w:r>
        <w:t>R&amp;M vs Contract Services creeping monthly without a clear scope plan.</w:t>
      </w:r>
    </w:p>
    <w:p w14:paraId="085155C0" w14:textId="77777777" w:rsidR="00FD66C3" w:rsidRDefault="000005F9">
      <w:pPr>
        <w:pStyle w:val="ListBullet"/>
        <w:spacing w:after="0"/>
      </w:pPr>
      <w:r>
        <w:t>Utilities/reimbursements not tracking (billing lag, leaks, unbilled usage).</w:t>
      </w:r>
    </w:p>
    <w:p w14:paraId="33535F52" w14:textId="77777777" w:rsidR="00FD66C3" w:rsidRDefault="000005F9">
      <w:pPr>
        <w:pStyle w:val="ListBullet"/>
        <w:spacing w:after="0"/>
      </w:pPr>
      <w:r>
        <w:t>Payroll drift from overtime/coverage changes without a plan to stabilize.</w:t>
      </w:r>
    </w:p>
    <w:p w14:paraId="207CABF3" w14:textId="77777777" w:rsidR="00FD66C3" w:rsidRDefault="000005F9">
      <w:pPr>
        <w:pStyle w:val="ListBullet"/>
        <w:spacing w:after="0"/>
      </w:pPr>
      <w:r>
        <w:t>CapEx timing slipping and pushing spend into emergency Ops buckets.</w:t>
      </w:r>
    </w:p>
    <w:p w14:paraId="69DD56FA" w14:textId="77777777" w:rsidR="00FD66C3" w:rsidRDefault="000005F9">
      <w:pPr>
        <w:spacing w:before="160" w:after="80"/>
      </w:pPr>
      <w:r>
        <w:rPr>
          <w:b/>
          <w:sz w:val="25"/>
        </w:rPr>
        <w:t>Quick glossary</w:t>
      </w:r>
    </w:p>
    <w:p w14:paraId="6B5E9C85" w14:textId="77777777" w:rsidR="00FD66C3" w:rsidRDefault="000005F9">
      <w:pPr>
        <w:pStyle w:val="ListBullet"/>
        <w:spacing w:after="0"/>
      </w:pPr>
      <w:r>
        <w:t>Core Occupancy: occupancy on core rent-producing sites used in the model.</w:t>
      </w:r>
    </w:p>
    <w:p w14:paraId="27A78325" w14:textId="77777777" w:rsidR="00FD66C3" w:rsidRDefault="000005F9">
      <w:pPr>
        <w:pStyle w:val="ListBullet"/>
        <w:spacing w:after="0"/>
      </w:pPr>
      <w:r>
        <w:t>Reimbursements: pass-through income (often tied to utilities) that should be tracked with related expense.</w:t>
      </w:r>
    </w:p>
    <w:p w14:paraId="605EDA69" w14:textId="77777777" w:rsidR="00FD66C3" w:rsidRDefault="000005F9">
      <w:pPr>
        <w:pStyle w:val="ListBullet"/>
        <w:spacing w:after="0"/>
      </w:pPr>
      <w:r>
        <w:t>NOI: Net Operating Income (income minus operating expenses, before debt).</w:t>
      </w:r>
    </w:p>
    <w:p w14:paraId="31EDE249" w14:textId="77777777" w:rsidR="00FD66C3" w:rsidRDefault="000005F9">
      <w:pPr>
        <w:pStyle w:val="ListBullet"/>
        <w:spacing w:after="0"/>
      </w:pPr>
      <w:r>
        <w:t>NOI Margin: NOI divided by Total Income (efficiency indicator).</w:t>
      </w:r>
    </w:p>
    <w:p w14:paraId="0E0ED2D4" w14:textId="77777777" w:rsidR="00FD66C3" w:rsidRDefault="000005F9">
      <w:pPr>
        <w:pStyle w:val="ListBullet"/>
        <w:spacing w:after="0"/>
      </w:pPr>
      <w:r>
        <w:t>Unlevered Cash Flow: NOI minus CapEx (what operations generate before financing).</w:t>
      </w:r>
    </w:p>
    <w:p w14:paraId="69BACD5B" w14:textId="77777777" w:rsidR="00FD66C3" w:rsidRDefault="00FD66C3"/>
    <w:p w14:paraId="3E64FAB2" w14:textId="77777777" w:rsidR="00FD66C3" w:rsidRDefault="000005F9">
      <w:r>
        <w:rPr>
          <w:i/>
        </w:rPr>
        <w:t>Tip: If you can explain occupancy, rent assumptions, and the top 3 controllable expense variances, you can explain 90% of the story.</w:t>
      </w:r>
    </w:p>
    <w:sectPr w:rsidR="00FD66C3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128902">
    <w:abstractNumId w:val="8"/>
  </w:num>
  <w:num w:numId="2" w16cid:durableId="2032418193">
    <w:abstractNumId w:val="6"/>
  </w:num>
  <w:num w:numId="3" w16cid:durableId="694843538">
    <w:abstractNumId w:val="5"/>
  </w:num>
  <w:num w:numId="4" w16cid:durableId="1692100348">
    <w:abstractNumId w:val="4"/>
  </w:num>
  <w:num w:numId="5" w16cid:durableId="74401673">
    <w:abstractNumId w:val="7"/>
  </w:num>
  <w:num w:numId="6" w16cid:durableId="1712874124">
    <w:abstractNumId w:val="3"/>
  </w:num>
  <w:num w:numId="7" w16cid:durableId="1349790109">
    <w:abstractNumId w:val="2"/>
  </w:num>
  <w:num w:numId="8" w16cid:durableId="721909310">
    <w:abstractNumId w:val="1"/>
  </w:num>
  <w:num w:numId="9" w16cid:durableId="189268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F9"/>
    <w:rsid w:val="00034616"/>
    <w:rsid w:val="0006063C"/>
    <w:rsid w:val="0015074B"/>
    <w:rsid w:val="0029639D"/>
    <w:rsid w:val="00326F90"/>
    <w:rsid w:val="00547AB1"/>
    <w:rsid w:val="007F6D28"/>
    <w:rsid w:val="00AA1D8D"/>
    <w:rsid w:val="00B47730"/>
    <w:rsid w:val="00CB0664"/>
    <w:rsid w:val="00FC693F"/>
    <w:rsid w:val="00FD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67117"/>
  <w14:defaultImageDpi w14:val="300"/>
  <w15:docId w15:val="{E3ABCAA2-6518-47BF-AA43-24B9572F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0F7F2D-7BA2-44ED-9A55-3383D2473E16}"/>
</file>

<file path=customXml/itemProps3.xml><?xml version="1.0" encoding="utf-8"?>
<ds:datastoreItem xmlns:ds="http://schemas.openxmlformats.org/officeDocument/2006/customXml" ds:itemID="{CE2F9DE0-FFBD-4B34-BC20-E7612A593016}"/>
</file>

<file path=customXml/itemProps4.xml><?xml version="1.0" encoding="utf-8"?>
<ds:datastoreItem xmlns:ds="http://schemas.openxmlformats.org/officeDocument/2006/customXml" ds:itemID="{3CEF4320-860D-4600-A996-0B544CC8C8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3171</Characters>
  <Application>Microsoft Office Word</Application>
  <DocSecurity>0</DocSecurity>
  <Lines>126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Natalie Magurne</cp:lastModifiedBy>
  <cp:revision>2</cp:revision>
  <dcterms:created xsi:type="dcterms:W3CDTF">2025-12-30T20:01:00Z</dcterms:created>
  <dcterms:modified xsi:type="dcterms:W3CDTF">2025-12-30T20:01:00Z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