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Review log — accuracy, clarity, and certification coverage (October 18–19, 2026)</w:t>
      </w:r>
    </w:p>
    <w:p>
      <w:pPr>
        <w:spacing w:after="120"/>
      </w:pPr>
      <w:r>
        <w:t xml:space="preserve">A full pass over all 13 guides and 24 diagram files: automated syntax checks, verification of version-sensitive claims against current vendor documentation, and a re-check of each certification blueprint. </w:t>
      </w:r>
      <w:r>
        <w:rPr>
          <w:b/>
          <w:bCs/>
        </w:rPr>
        <w:t xml:space="preserve">30 findings fixed (6 high, 10 medium, 14 low) plus 3 coverage additions.</w:t>
      </w:r>
      <w:r>
        <w:t xml:space="preserve"> Items that still can't be confirmed without live consoles are listed at the end.</w:t>
      </w:r>
    </w:p>
    <w:p>
      <w:pPr>
        <w:spacing w:after="120"/>
      </w:pPr>
      <w:r>
        <w:rPr>
          <w:b/>
          <w:bCs/>
        </w:rPr>
        <w:t xml:space="preserve">Extended the same day</w:t>
      </w:r>
      <w:r>
        <w:t xml:space="preserve"> with Project 13 and Modules 14–16 (17 guides, 36 diagram files). The extension's verified facts, the 7 corrections it made to earlier guides, and the new certification maps are in §7.</w:t>
      </w:r>
    </w:p>
    <w:p>
      <w:pPr>
        <w:spacing w:after="120"/>
      </w:pPr>
      <w:r>
        <w:rPr>
          <w:b/>
          <w:bCs/>
        </w:rPr>
        <w:t xml:space="preserve">Mortgage edition (October 18–19, 2026).</w:t>
      </w:r>
      <w:r>
        <w:t xml:space="preserve"> Every guide, the diagrams and the Project 13 code were rewritten for the fictional lender Apex Home Lending, and the Agentforce guide (16) was extended with multi-agent orchestration, connected subagents, MCP and A2A in both directions, Agentforce DX and Observability. §8 records the checks, the facts verified for the mortgage domain and the 2026 Agentforce features, the corrections and findings, and the code tests. Sections 1–7 are the record of the earlier wealth-edition review: their file and lab references still hold, and names follow the term map in primer §9.</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Method</w:t>
        </w:r>
      </w:hyperlink>
    </w:p>
    <w:p>
      <w:pPr>
        <w:pStyle w:val="ContentsItem"/>
      </w:pPr>
      <w:hyperlink w:history="1" w:anchor="s2">
        <w:r>
          <w:rPr>
            <w:color w:val="0563C1"/>
          </w:rPr>
          <w:t xml:space="preserve">2. Findings and fixes</w:t>
        </w:r>
      </w:hyperlink>
    </w:p>
    <w:p>
      <w:pPr>
        <w:pStyle w:val="ContentsItem"/>
      </w:pPr>
      <w:hyperlink w:history="1" w:anchor="s3">
        <w:r>
          <w:rPr>
            <w:color w:val="0563C1"/>
          </w:rPr>
          <w:t xml:space="preserve">3. Verified as correct (no change needed)</w:t>
        </w:r>
      </w:hyperlink>
    </w:p>
    <w:p>
      <w:pPr>
        <w:pStyle w:val="ContentsItem"/>
      </w:pPr>
      <w:hyperlink w:history="1" w:anchor="s4">
        <w:r>
          <w:rPr>
            <w:color w:val="0563C1"/>
          </w:rPr>
          <w:t xml:space="preserve">4. Certification coverage after this review</w:t>
        </w:r>
      </w:hyperlink>
    </w:p>
    <w:p>
      <w:pPr>
        <w:pStyle w:val="ContentsItem"/>
      </w:pPr>
      <w:hyperlink w:history="1" w:anchor="s5">
        <w:r>
          <w:rPr>
            <w:color w:val="0563C1"/>
          </w:rPr>
          <w:t xml:space="preserve">5. Still marked ⚠ — confirm in the console when you get there</w:t>
        </w:r>
      </w:hyperlink>
    </w:p>
    <w:p>
      <w:pPr>
        <w:pStyle w:val="ContentsItem"/>
      </w:pPr>
      <w:hyperlink w:history="1" w:anchor="s6">
        <w:r>
          <w:rPr>
            <w:color w:val="0563C1"/>
          </w:rPr>
          <w:t xml:space="preserve">6. How to keep this accurate</w:t>
        </w:r>
      </w:hyperlink>
    </w:p>
    <w:p>
      <w:pPr>
        <w:pStyle w:val="ContentsItem"/>
      </w:pPr>
      <w:hyperlink w:history="1" w:anchor="s7">
        <w:r>
          <w:rPr>
            <w:color w:val="0563C1"/>
          </w:rPr>
          <w:t xml:space="preserve">7. Extension review — Project 13 and Modules 14–16 (October 18, 2026)</w:t>
        </w:r>
      </w:hyperlink>
    </w:p>
    <w:p>
      <w:pPr>
        <w:pStyle w:val="ContentsItem"/>
      </w:pPr>
      <w:hyperlink w:history="1" w:anchor="s8">
        <w:r>
          <w:rPr>
            <w:color w:val="0563C1"/>
          </w:rPr>
          <w:t xml:space="preserve">8. Mortgage edition review (October 18–19, 2026)</w:t>
        </w:r>
      </w:hyperlink>
    </w:p>
    <w:p>
      <w:pPr>
        <w:pBdr>
          <w:bottom w:val="single" w:color="BFBFBF" w:sz="6" w:space="4"/>
        </w:pBdr>
      </w:pPr>
    </w:p>
    <w:p>
      <w:pPr>
        <w:pStyle w:val="Heading1"/>
      </w:pPr>
      <w:bookmarkStart w:name="s1" w:id="1"/>
      <w:r>
        <w:t xml:space="preserve">1. Method</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15"/>
        <w:gridCol w:w="4587"/>
        <w:gridCol w:w="2178"/>
      </w:tblGrid>
      <w:tr>
        <w:trPr>
          <w:cantSplit/>
          <w:tblHeader/>
        </w:trPr>
        <w:tc>
          <w:tcPr>
            <w:tcW w:type="dxa" w:w="33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Check</w:t>
            </w:r>
          </w:p>
        </w:tc>
        <w:tc>
          <w:tcPr>
            <w:tcW w:type="dxa" w:w="458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Tooling</w:t>
            </w:r>
          </w:p>
        </w:tc>
        <w:tc>
          <w:tcPr>
            <w:tcW w:type="dxa" w:w="217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Result after fixes</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 blocks (37 Bash, 22 Python, 7 YAML, 7 XML, 6 HCL, 1 JSON)</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bash -n</w:t>
            </w:r>
            <w:r>
              <w:rPr>
                <w:b w:val="false"/>
                <w:bCs w:val="false"/>
                <w:sz w:val="17"/>
                <w:szCs w:val="17"/>
              </w:rPr>
              <w:t xml:space="preserve">, Python </w:t>
            </w:r>
            <w:r>
              <w:rPr>
                <w:rFonts w:ascii="Consolas" w:cs="Consolas" w:eastAsia="Consolas" w:hAnsi="Consolas"/>
                <w:b w:val="false"/>
                <w:bCs w:val="false"/>
                <w:sz w:val="16"/>
                <w:szCs w:val="16"/>
                <w:shd w:fill="EEF0F3" w:color="auto" w:val="clear"/>
              </w:rPr>
              <w:t xml:space="preserve">ast</w:t>
            </w:r>
            <w:r>
              <w:rPr>
                <w:b w:val="false"/>
                <w:bCs w:val="false"/>
                <w:sz w:val="17"/>
                <w:szCs w:val="17"/>
              </w:rPr>
              <w:t xml:space="preserve">, PyYAML (CloudFormation tags), ElementTree, python-hcl2 + manual HCL rules, ShellCheck</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pass</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CloudFormation template</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cfn-lint</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findings</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Mermaid (21 diagrams: 7 embedded + 14 files)</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Mermaid parser (v11, jsdom)</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parse</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draw.io (10 files)</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XML well-formedness</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valid</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Cross-file consistency</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 numbering, phase timing, cross-references</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timing conflicts fixed; ADR-001…030 unique</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Version-sensitive facts</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AWS, Salesforce, MuleSoft and A2A/MCP documentation, AWS and Salesforce blogs</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See §2</w:t>
            </w:r>
          </w:p>
        </w:tc>
      </w:tr>
      <w:tr>
        <w:trPr>
          <w:cantSplit/>
        </w:trPr>
        <w:tc>
          <w:tcPr>
            <w:tcW w:type="dxa" w:w="33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Certification blueprints</w:t>
            </w:r>
          </w:p>
        </w:tc>
        <w:tc>
          <w:tcPr>
            <w:tcW w:type="dxa" w:w="45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Admins blog and Salesforce Ben (Admin), Trailhead and study guides (Data 360), AWS exam guide (SAA-C03)</w:t>
            </w:r>
          </w:p>
        </w:tc>
        <w:tc>
          <w:tcPr>
            <w:tcW w:type="dxa" w:w="21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See §4</w:t>
            </w:r>
          </w:p>
        </w:tc>
      </w:tr>
    </w:tbl>
    <w:p>
      <w:pPr>
        <w:spacing w:after="120"/>
      </w:pPr>
    </w:p>
    <w:p>
      <w:pPr>
        <w:spacing w:after="120"/>
      </w:pPr>
      <w:r>
        <w:t xml:space="preserve">Not possible in this environment: running </w:t>
      </w:r>
      <w:r>
        <w:rPr>
          <w:rFonts w:ascii="Consolas" w:cs="Consolas" w:eastAsia="Consolas" w:hAnsi="Consolas"/>
          <w:sz w:val="19"/>
          <w:szCs w:val="19"/>
          <w:shd w:fill="EEF0F3" w:color="auto" w:val="clear"/>
        </w:rPr>
        <w:t xml:space="preserve">terraform validate</w:t>
      </w:r>
      <w:r>
        <w:t xml:space="preserve"> or </w:t>
      </w:r>
      <w:r>
        <w:rPr>
          <w:rFonts w:ascii="Consolas" w:cs="Consolas" w:eastAsia="Consolas" w:hAnsi="Consolas"/>
          <w:sz w:val="19"/>
          <w:szCs w:val="19"/>
          <w:shd w:fill="EEF0F3" w:color="auto" w:val="clear"/>
        </w:rPr>
        <w:t xml:space="preserve">nginx -t</w:t>
      </w:r>
      <w:r>
        <w:t xml:space="preserve">, building containers, or clicking through live consoles. Diagrams were parsed but not rendered.</w:t>
      </w:r>
    </w:p>
    <w:p>
      <w:pPr>
        <w:pBdr>
          <w:bottom w:val="single" w:color="BFBFBF" w:sz="6" w:space="1"/>
        </w:pBdr>
        <w:spacing w:after="120" w:before="120"/>
      </w:pPr>
    </w:p>
    <w:p>
      <w:pPr>
        <w:pStyle w:val="Heading1"/>
      </w:pPr>
      <w:bookmarkStart w:name="s2" w:id="2"/>
      <w:r>
        <w:t xml:space="preserve">2. Findings and fixes</w:t>
      </w:r>
      <w:bookmarkEnd w:id="2"/>
    </w:p>
    <w:p>
      <w:pPr>
        <w:pStyle w:val="Heading2"/>
      </w:pPr>
      <w:r>
        <w:t xml:space="preserve">High — would have blocked you or produced wrong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5"/>
        <w:gridCol w:w="623"/>
        <w:gridCol w:w="3792"/>
        <w:gridCol w:w="3640"/>
        <w:gridCol w:w="1600"/>
      </w:tblGrid>
      <w:tr>
        <w:trPr>
          <w:cantSplit/>
          <w:tblHeader/>
        </w:trPr>
        <w:tc>
          <w:tcPr>
            <w:tcW w:type="dxa" w:w="4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6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37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Problem</w:t>
            </w:r>
          </w:p>
        </w:tc>
        <w:tc>
          <w:tcPr>
            <w:tcW w:type="dxa" w:w="3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H1</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00, 02, 12</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accounts created after July 15, 2025 choose a </w:t>
            </w:r>
            <w:r>
              <w:rPr>
                <w:b/>
                <w:bCs/>
                <w:sz w:val="17"/>
                <w:szCs w:val="17"/>
              </w:rPr>
              <w:t xml:space="preserve">free or paid plan</w:t>
            </w:r>
            <w:r>
              <w:rPr>
                <w:b w:val="false"/>
                <w:bCs w:val="false"/>
                <w:sz w:val="17"/>
                <w:szCs w:val="17"/>
              </w:rPr>
              <w:t xml:space="preserve">. The free plan closes the account after 6 months or when credits run out (data deleted after a further 90 days), restricts Savings Plans/RIs and some services, and joining Organizations upgrades it anyway. The guides didn't mention this, and the programme lasts ~8 months</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Choose the </w:t>
            </w:r>
            <w:r>
              <w:rPr>
                <w:b/>
                <w:bCs/>
                <w:sz w:val="17"/>
                <w:szCs w:val="17"/>
              </w:rPr>
              <w:t xml:space="preserve">paid plan</w:t>
            </w:r>
            <w:r>
              <w:rPr>
                <w:b w:val="false"/>
                <w:bCs w:val="false"/>
                <w:sz w:val="17"/>
                <w:szCs w:val="17"/>
              </w:rPr>
              <w:t xml:space="preserve"> at sign-up; credits still apply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Billing docs: </w:t>
            </w:r>
            <w:r>
              <w:rPr>
                <w:b w:val="false"/>
                <w:bCs w:val="false"/>
                <w:i/>
                <w:iCs/>
                <w:sz w:val="17"/>
                <w:szCs w:val="17"/>
              </w:rPr>
              <w:t xml:space="preserve">Choosing an AWS Free Tier plan</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H2</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03, 04</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guides offered "Connected App" as a fallback. Salesforce disabled creating new connected apps for new orgs in Winter '26 and for </w:t>
            </w:r>
            <w:r>
              <w:rPr>
                <w:b/>
                <w:bCs/>
                <w:sz w:val="17"/>
                <w:szCs w:val="17"/>
              </w:rPr>
              <w:t xml:space="preserve">all orgs in Spring '26</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Client Apps only; note that local ECAs don't copy to refreshed sandboxes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ECA migration coverage (2026)</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H3</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setup used </w:t>
            </w:r>
            <w:r>
              <w:rPr>
                <w:rFonts w:ascii="Consolas" w:cs="Consolas" w:eastAsia="Consolas" w:hAnsi="Consolas"/>
                <w:b w:val="false"/>
                <w:bCs w:val="false"/>
                <w:sz w:val="16"/>
                <w:szCs w:val="16"/>
                <w:shd w:fill="EEF0F3" w:color="auto" w:val="clear"/>
              </w:rPr>
              <w:t xml:space="preserve">agentcore configure/launch/destroy</w:t>
            </w:r>
            <w:r>
              <w:rPr>
                <w:b w:val="false"/>
                <w:bCs w:val="false"/>
                <w:sz w:val="17"/>
                <w:szCs w:val="17"/>
              </w:rPr>
              <w:t xml:space="preserve"> from the Python starter toolkit, which the new npm-based </w:t>
            </w:r>
            <w:r>
              <w:rPr>
                <w:b/>
                <w:bCs/>
                <w:sz w:val="17"/>
                <w:szCs w:val="17"/>
              </w:rPr>
              <w:t xml:space="preserve">AgentCore CLI</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@aws/agentcore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create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dev</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deploy</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invoke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status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logs</w:t>
            </w:r>
            <w:r>
              <w:rPr>
                <w:b w:val="false"/>
                <w:bCs w:val="false"/>
                <w:sz w:val="17"/>
                <w:szCs w:val="17"/>
              </w:rPr>
              <w:t xml:space="preserve">) supersedes. The header-forwarding details and the import path were also wrong</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Rewrote setup 0.4. </w:t>
            </w:r>
            <w:r>
              <w:rPr>
                <w:rFonts w:ascii="Consolas" w:cs="Consolas" w:eastAsia="Consolas" w:hAnsi="Consolas"/>
                <w:b w:val="false"/>
                <w:bCs w:val="false"/>
                <w:sz w:val="16"/>
                <w:szCs w:val="16"/>
                <w:shd w:fill="EEF0F3" w:color="auto" w:val="clear"/>
              </w:rPr>
              <w:t xml:space="preserve">Authorization</w:t>
            </w:r>
            <w:r>
              <w:rPr>
                <w:b w:val="false"/>
                <w:bCs w:val="false"/>
                <w:sz w:val="17"/>
                <w:szCs w:val="17"/>
              </w:rPr>
              <w:t xml:space="preserve"> is forwarded only with a CUSTOM_JWT authorizer plus the request-header allowlist; uses </w:t>
            </w:r>
            <w:r>
              <w:rPr>
                <w:rFonts w:ascii="Consolas" w:cs="Consolas" w:eastAsia="Consolas" w:hAnsi="Consolas"/>
                <w:b w:val="false"/>
                <w:bCs w:val="false"/>
                <w:sz w:val="16"/>
                <w:szCs w:val="16"/>
                <w:shd w:fill="EEF0F3" w:color="auto" w:val="clear"/>
              </w:rPr>
              <w:t xml:space="preserve">from bedrock_agentcore import BedrockAgentCoreApp, RequestContext</w:t>
            </w:r>
            <w:r>
              <w:rPr>
                <w:b w:val="false"/>
                <w:bCs w:val="false"/>
                <w:sz w:val="17"/>
                <w:szCs w:val="17"/>
              </w:rPr>
              <w:t xml:space="preserve">; test with </w:t>
            </w:r>
            <w:r>
              <w:rPr>
                <w:rFonts w:ascii="Consolas" w:cs="Consolas" w:eastAsia="Consolas" w:hAnsi="Consolas"/>
                <w:b w:val="false"/>
                <w:bCs w:val="false"/>
                <w:sz w:val="16"/>
                <w:szCs w:val="16"/>
                <w:shd w:fill="EEF0F3" w:color="auto" w:val="clear"/>
              </w:rPr>
              <w:t xml:space="preserve">agentcore invoke --bearer-token</w:t>
            </w:r>
            <w:r>
              <w:rPr>
                <w:b w:val="false"/>
                <w:bCs w:val="false"/>
                <w:sz w:val="17"/>
                <w:szCs w:val="17"/>
              </w:rPr>
              <w:t xml:space="preserve">; teardown with </w:t>
            </w:r>
            <w:r>
              <w:rPr>
                <w:rFonts w:ascii="Consolas" w:cs="Consolas" w:eastAsia="Consolas" w:hAnsi="Consolas"/>
                <w:b w:val="false"/>
                <w:bCs w:val="false"/>
                <w:sz w:val="16"/>
                <w:szCs w:val="16"/>
                <w:shd w:fill="EEF0F3" w:color="auto" w:val="clear"/>
              </w:rPr>
              <w:t xml:space="preserve">remove all</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deploy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AgentCore docs: Get started (CLI), CLI reference, Pass custom headers</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H4</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Two Terraform blocks were written on one line with a nested block (</w:t>
            </w:r>
            <w:r>
              <w:rPr>
                <w:rFonts w:ascii="Consolas" w:cs="Consolas" w:eastAsia="Consolas" w:hAnsi="Consolas"/>
                <w:b w:val="false"/>
                <w:bCs w:val="false"/>
                <w:sz w:val="16"/>
                <w:szCs w:val="16"/>
                <w:shd w:fill="EEF0F3" w:color="auto" w:val="clear"/>
              </w:rPr>
              <w:t xml:space="preserve">terraform { required_providers { … } }</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rule { apply_… { … } }</w:t>
            </w:r>
            <w:r>
              <w:rPr>
                <w:b w:val="false"/>
                <w:bCs w:val="false"/>
                <w:sz w:val="17"/>
                <w:szCs w:val="17"/>
              </w:rPr>
              <w:t xml:space="preserve">). Terraform rejects single-line blocks that contain nested blocks</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Expanded to multi-line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HCL native syntax rules</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H5</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LangGraph agent had four bugs. (a) It called </w:t>
            </w:r>
            <w:r>
              <w:rPr>
                <w:rFonts w:ascii="Consolas" w:cs="Consolas" w:eastAsia="Consolas" w:hAnsi="Consolas"/>
                <w:b w:val="false"/>
                <w:bCs w:val="false"/>
                <w:sz w:val="16"/>
                <w:szCs w:val="16"/>
                <w:shd w:fill="EEF0F3" w:color="auto" w:val="clear"/>
              </w:rPr>
              <w:t xml:space="preserve">interrupt()</w:t>
            </w:r>
            <w:r>
              <w:rPr>
                <w:b w:val="false"/>
                <w:bCs w:val="false"/>
                <w:sz w:val="17"/>
                <w:szCs w:val="17"/>
              </w:rPr>
              <w:t xml:space="preserve"> inside the same loop that executed tools. LangGraph re-runs the whole node on resume, so earlier tool calls in that node would run twice. (b) The graph used </w:t>
            </w:r>
            <w:r>
              <w:rPr>
                <w:rFonts w:ascii="Consolas" w:cs="Consolas" w:eastAsia="Consolas" w:hAnsi="Consolas"/>
                <w:b w:val="false"/>
                <w:bCs w:val="false"/>
                <w:sz w:val="16"/>
                <w:szCs w:val="16"/>
                <w:shd w:fill="EEF0F3" w:color="auto" w:val="clear"/>
              </w:rPr>
              <w:t xml:space="preserve">TOOL_REGISTRY</w:t>
            </w:r>
            <w:r>
              <w:rPr>
                <w:b w:val="false"/>
                <w:bCs w:val="false"/>
                <w:sz w:val="17"/>
                <w:szCs w:val="17"/>
              </w:rPr>
              <w:t xml:space="preserve"> entries as executables, though setup 0.4 defines them as specs, with </w:t>
            </w:r>
            <w:r>
              <w:rPr>
                <w:rFonts w:ascii="Consolas" w:cs="Consolas" w:eastAsia="Consolas" w:hAnsi="Consolas"/>
                <w:b w:val="false"/>
                <w:bCs w:val="false"/>
                <w:sz w:val="16"/>
                <w:szCs w:val="16"/>
                <w:shd w:fill="EEF0F3" w:color="auto" w:val="clear"/>
              </w:rPr>
              <w:t xml:space="preserve">EXECUTORS</w:t>
            </w:r>
            <w:r>
              <w:rPr>
                <w:b w:val="false"/>
                <w:bCs w:val="false"/>
                <w:sz w:val="17"/>
                <w:szCs w:val="17"/>
              </w:rPr>
              <w:t xml:space="preserve"> separate. (c) The import path didn't match the package layout. (d) It entered the SqliteSaver context manager by hand. It also had no handling for a hallucinated tool name</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Two-pass execute node: collect approvals with no side effects first, then execute. Uses </w:t>
            </w:r>
            <w:r>
              <w:rPr>
                <w:rFonts w:ascii="Consolas" w:cs="Consolas" w:eastAsia="Consolas" w:hAnsi="Consolas"/>
                <w:b w:val="false"/>
                <w:bCs w:val="false"/>
                <w:sz w:val="16"/>
                <w:szCs w:val="16"/>
                <w:shd w:fill="EEF0F3" w:color="auto" w:val="clear"/>
              </w:rPr>
              <w:t xml:space="preserve">EXECUTORS</w:t>
            </w:r>
            <w:r>
              <w:rPr>
                <w:b w:val="false"/>
                <w:bCs w:val="false"/>
                <w:sz w:val="17"/>
                <w:szCs w:val="17"/>
              </w:rPr>
              <w:t xml:space="preserve">, a relative import, </w:t>
            </w:r>
            <w:r>
              <w:rPr>
                <w:rFonts w:ascii="Consolas" w:cs="Consolas" w:eastAsia="Consolas" w:hAnsi="Consolas"/>
                <w:b w:val="false"/>
                <w:bCs w:val="false"/>
                <w:sz w:val="16"/>
                <w:szCs w:val="16"/>
                <w:shd w:fill="EEF0F3" w:color="auto" w:val="clear"/>
              </w:rPr>
              <w:t xml:space="preserve">SqliteSaver(sqlite3.connect(...))</w:t>
            </w:r>
            <w:r>
              <w:rPr>
                <w:b w:val="false"/>
                <w:bCs w:val="false"/>
                <w:sz w:val="17"/>
                <w:szCs w:val="17"/>
              </w:rPr>
              <w:t xml:space="preserve">, and an UNKNOWN_TOOL guard. Added an explanation in the text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LangGraph interrupt semantics</w:t>
            </w:r>
          </w:p>
        </w:tc>
      </w:tr>
      <w:tr>
        <w:trPr>
          <w:cantSplit/>
        </w:trPr>
        <w:tc>
          <w:tcPr>
            <w:tcW w:type="dxa" w:w="4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H6</w:t>
            </w:r>
          </w:p>
        </w:tc>
        <w:tc>
          <w:tcPr>
            <w:tcW w:type="dxa" w:w="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00, 07</w:t>
            </w:r>
          </w:p>
        </w:tc>
        <w:tc>
          <w:tcPr>
            <w:tcW w:type="dxa" w:w="37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06 and 07 (5–7 weeks at 8–10 h/week) were both scheduled inside the 30-day Anypoint trial, which can't fit</w:t>
            </w:r>
          </w:p>
        </w:tc>
        <w:tc>
          <w:tcPr>
            <w:tcW w:type="dxa" w:w="3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 Project 07 Phases B–D before the trial; inside it do Project 06, Phases A and E, and Module 12 A4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Programme arithmetic</w:t>
            </w:r>
          </w:p>
        </w:tc>
      </w:tr>
    </w:tbl>
    <w:p>
      <w:pPr>
        <w:spacing w:after="120"/>
      </w:pPr>
    </w:p>
    <w:p>
      <w:pPr>
        <w:pStyle w:val="Heading2"/>
      </w:pPr>
      <w:r>
        <w:t xml:space="preserve">Medium — outdated or imprecise, but you'd likely have worked around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3"/>
        <w:gridCol w:w="1049"/>
        <w:gridCol w:w="3016"/>
        <w:gridCol w:w="3453"/>
        <w:gridCol w:w="2059"/>
      </w:tblGrid>
      <w:tr>
        <w:trPr>
          <w:cantSplit/>
          <w:tblHeader/>
        </w:trPr>
        <w:tc>
          <w:tcPr>
            <w:tcW w:type="dxa" w:w="5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10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3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Problem</w:t>
            </w:r>
          </w:p>
        </w:tc>
        <w:tc>
          <w:tcPr>
            <w:tcW w:type="dxa" w:w="34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c>
          <w:tcPr>
            <w:tcW w:type="dxa" w:w="205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M1</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01, 04–07, 11, 12, diagrams</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renamed </w:t>
            </w:r>
            <w:r>
              <w:rPr>
                <w:b/>
                <w:bCs/>
                <w:sz w:val="17"/>
                <w:szCs w:val="17"/>
              </w:rPr>
              <w:t xml:space="preserve">Flex Gateway to Omni Gateway</w:t>
            </w:r>
            <w:r>
              <w:rPr>
                <w:b w:val="false"/>
                <w:bCs w:val="false"/>
                <w:sz w:val="17"/>
                <w:szCs w:val="17"/>
              </w:rPr>
              <w:t xml:space="preserve"> in v1.13.0 (May 11, 2026). The change is cosmetic; the CLI, APIs and environment variables are unchanged</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Renamed throughout; rename note in 00 and 06 explains that older material says Flex</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Omni Gateway release notes</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M2</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12, seq-14, diagram 08</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A2A content was written for v0.2/0.3. </w:t>
            </w:r>
            <w:r>
              <w:rPr>
                <w:b/>
                <w:bCs/>
                <w:sz w:val="17"/>
                <w:szCs w:val="17"/>
              </w:rPr>
              <w:t xml:space="preserve">A2A v1.0</w:t>
            </w:r>
            <w:r>
              <w:rPr>
                <w:b w:val="false"/>
                <w:bCs w:val="false"/>
                <w:sz w:val="17"/>
                <w:szCs w:val="17"/>
              </w:rPr>
              <w:t xml:space="preserve"> froze March 12, 2026 and moved to the Agentic AI Foundation (with MCP) on August 17, 2026. It requires the </w:t>
            </w:r>
            <w:r>
              <w:rPr>
                <w:rFonts w:ascii="Consolas" w:cs="Consolas" w:eastAsia="Consolas" w:hAnsi="Consolas"/>
                <w:b w:val="false"/>
                <w:bCs w:val="false"/>
                <w:sz w:val="16"/>
                <w:szCs w:val="16"/>
                <w:shd w:fill="EEF0F3" w:color="auto" w:val="clear"/>
              </w:rPr>
              <w:t xml:space="preserve">A2A-Version: 1.0</w:t>
            </w:r>
            <w:r>
              <w:rPr>
                <w:b w:val="false"/>
                <w:bCs w:val="false"/>
                <w:sz w:val="17"/>
                <w:szCs w:val="17"/>
              </w:rPr>
              <w:t xml:space="preserve"> header, uses SendMessage/GetTask/CancelTask, replaces </w:t>
            </w:r>
            <w:r>
              <w:rPr>
                <w:rFonts w:ascii="Consolas" w:cs="Consolas" w:eastAsia="Consolas" w:hAnsi="Consolas"/>
                <w:b w:val="false"/>
                <w:bCs w:val="false"/>
                <w:sz w:val="16"/>
                <w:szCs w:val="16"/>
                <w:shd w:fill="EEF0F3" w:color="auto" w:val="clear"/>
              </w:rPr>
              <w:t xml:space="preserve">url</w:t>
            </w:r>
            <w:r>
              <w:rPr>
                <w:b w:val="false"/>
                <w:bCs w:val="false"/>
                <w:sz w:val="17"/>
                <w:szCs w:val="17"/>
              </w:rPr>
              <w:t xml:space="preserve"> with </w:t>
            </w:r>
            <w:r>
              <w:rPr>
                <w:rFonts w:ascii="Consolas" w:cs="Consolas" w:eastAsia="Consolas" w:hAnsi="Consolas"/>
                <w:b w:val="false"/>
                <w:bCs w:val="false"/>
                <w:sz w:val="16"/>
                <w:szCs w:val="16"/>
                <w:shd w:fill="EEF0F3" w:color="auto" w:val="clear"/>
              </w:rPr>
              <w:t xml:space="preserve">supportedInterfaces</w:t>
            </w:r>
            <w:r>
              <w:rPr>
                <w:b w:val="false"/>
                <w:bCs w:val="false"/>
                <w:sz w:val="17"/>
                <w:szCs w:val="17"/>
              </w:rPr>
              <w:t xml:space="preserve">, and uses uppercase task states</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Updated labs A2–A3 and both diagrams; warns that 0.2/0.3 tutorials are outdated</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AAIF A2A v1.0 builder's guide</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M3</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token exchange said only "Okta must be told which subject tokens to trust"</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 path: </w:t>
            </w:r>
            <w:r>
              <w:rPr>
                <w:rFonts w:ascii="Consolas" w:cs="Consolas" w:eastAsia="Consolas" w:hAnsi="Consolas"/>
                <w:b w:val="false"/>
                <w:bCs w:val="false"/>
                <w:sz w:val="16"/>
                <w:szCs w:val="16"/>
                <w:shd w:fill="EEF0F3" w:color="auto" w:val="clear"/>
              </w:rPr>
              <w:t xml:space="preserve">apex-mule</w:t>
            </w:r>
            <w:r>
              <w:rPr>
                <w:b w:val="false"/>
                <w:bCs w:val="false"/>
                <w:sz w:val="17"/>
                <w:szCs w:val="17"/>
              </w:rPr>
              <w:t xml:space="preserve"> → Settings → </w:t>
            </w:r>
            <w:r>
              <w:rPr>
                <w:b/>
                <w:bCs/>
                <w:sz w:val="17"/>
                <w:szCs w:val="17"/>
              </w:rPr>
              <w:t xml:space="preserve">Trusted servers</w:t>
            </w:r>
            <w:r>
              <w:rPr>
                <w:b w:val="false"/>
                <w:bCs w:val="false"/>
                <w:sz w:val="17"/>
                <w:szCs w:val="17"/>
              </w:rPr>
              <w:t xml:space="preserve"> → Add </w:t>
            </w:r>
            <w:r>
              <w:rPr>
                <w:rFonts w:ascii="Consolas" w:cs="Consolas" w:eastAsia="Consolas" w:hAnsi="Consolas"/>
                <w:b w:val="false"/>
                <w:bCs w:val="false"/>
                <w:sz w:val="16"/>
                <w:szCs w:val="16"/>
                <w:shd w:fill="EEF0F3" w:color="auto" w:val="clear"/>
              </w:rPr>
              <w:t xml:space="preserve">apex-agent</w:t>
            </w:r>
            <w:r>
              <w:rPr>
                <w:b w:val="false"/>
                <w:bCs w:val="false"/>
                <w:sz w:val="17"/>
                <w:szCs w:val="17"/>
              </w:rPr>
              <w:t xml:space="preserve">. Grant is under </w:t>
            </w:r>
            <w:r>
              <w:rPr>
                <w:b/>
                <w:bCs/>
                <w:sz w:val="17"/>
                <w:szCs w:val="17"/>
              </w:rPr>
              <w:t xml:space="preserve">Advanced</w:t>
            </w:r>
            <w:r>
              <w:rPr>
                <w:b w:val="false"/>
                <w:bCs w:val="false"/>
                <w:sz w:val="17"/>
                <w:szCs w:val="17"/>
              </w:rPr>
              <w:t xml:space="preserve">. Noted the client-secret fallback, the NHI Authentication Token licensing for paid orgs (from August 14, 2026), and Okta </w:t>
            </w:r>
            <w:r>
              <w:rPr>
                <w:b/>
                <w:bCs/>
                <w:sz w:val="17"/>
                <w:szCs w:val="17"/>
              </w:rPr>
              <w:t xml:space="preserve">Cross App Access (XAA / ID-JAG)</w:t>
            </w:r>
            <w:r>
              <w:rPr>
                <w:b w:val="false"/>
                <w:bCs w:val="false"/>
                <w:sz w:val="17"/>
                <w:szCs w:val="17"/>
              </w:rPr>
              <w:t xml:space="preserve"> as an alternative</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token-exchange guide; Okta Help </w:t>
            </w:r>
            <w:r>
              <w:rPr>
                <w:b w:val="false"/>
                <w:bCs w:val="false"/>
                <w:i/>
                <w:iCs/>
                <w:sz w:val="17"/>
                <w:szCs w:val="17"/>
              </w:rPr>
              <w:t xml:space="preserve">Add trusted servers</w:t>
            </w:r>
            <w:r>
              <w:rPr>
                <w:b w:val="false"/>
                <w:bCs w:val="false"/>
                <w:sz w:val="17"/>
                <w:szCs w:val="17"/>
              </w:rPr>
              <w:t xml:space="preserve">; Okta XAA concept page</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M4</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Suggested a </w:t>
            </w:r>
            <w:r>
              <w:rPr>
                <w:rFonts w:ascii="Consolas" w:cs="Consolas" w:eastAsia="Consolas" w:hAnsi="Consolas"/>
                <w:b w:val="false"/>
                <w:bCs w:val="false"/>
                <w:sz w:val="16"/>
                <w:szCs w:val="16"/>
                <w:shd w:fill="EEF0F3" w:color="auto" w:val="clear"/>
              </w:rPr>
              <w:t xml:space="preserve">ca.</w:t>
            </w:r>
            <w:r>
              <w:rPr>
                <w:b w:val="false"/>
                <w:bCs w:val="false"/>
                <w:sz w:val="17"/>
                <w:szCs w:val="17"/>
              </w:rPr>
              <w:t xml:space="preserve"> Bedrock inference-profile prefix and a model-access step</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From ca-central-1, Claude models use </w:t>
            </w:r>
            <w:r>
              <w:rPr>
                <w:rFonts w:ascii="Consolas" w:cs="Consolas" w:eastAsia="Consolas" w:hAnsi="Consolas"/>
                <w:b w:val="false"/>
                <w:bCs w:val="false"/>
                <w:sz w:val="16"/>
                <w:szCs w:val="16"/>
                <w:shd w:fill="EEF0F3" w:color="auto" w:val="clear"/>
              </w:rPr>
              <w:t xml:space="preserve">us.</w:t>
            </w:r>
            <w:r>
              <w:rPr>
                <w:b w:val="false"/>
                <w:bCs w:val="false"/>
                <w:sz w:val="17"/>
                <w:szCs w:val="17"/>
              </w:rPr>
              <w:t xml:space="preserve"> or </w:t>
            </w:r>
            <w:r>
              <w:rPr>
                <w:rFonts w:ascii="Consolas" w:cs="Consolas" w:eastAsia="Consolas" w:hAnsi="Consolas"/>
                <w:b w:val="false"/>
                <w:bCs w:val="false"/>
                <w:sz w:val="16"/>
                <w:szCs w:val="16"/>
                <w:shd w:fill="EEF0F3" w:color="auto" w:val="clear"/>
              </w:rPr>
              <w:t xml:space="preserve">global.</w:t>
            </w:r>
            <w:r>
              <w:rPr>
                <w:b w:val="false"/>
                <w:bCs w:val="false"/>
                <w:sz w:val="17"/>
                <w:szCs w:val="17"/>
              </w:rPr>
              <w:t xml:space="preserve"> CRIS profiles, so </w:t>
            </w:r>
            <w:r>
              <w:rPr>
                <w:b/>
                <w:bCs/>
                <w:sz w:val="17"/>
                <w:szCs w:val="17"/>
              </w:rPr>
              <w:t xml:space="preserve">inference can run outside Canada</w:t>
            </w:r>
            <w:r>
              <w:rPr>
                <w:b w:val="false"/>
                <w:bCs w:val="false"/>
                <w:sz w:val="17"/>
                <w:szCs w:val="17"/>
              </w:rPr>
              <w:t xml:space="preserve"> while data at rest stays in ca-central-1. Bedrock enables foundation-model access by default. Flagged as the key ADR-012 residency fact</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ML blog (Nov 2025) on Bedrock CRIS in Canada; AgentCore prerequisites</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M5</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 Relay steps assumed a Setup UI with a direct </w:t>
            </w:r>
            <w:r>
              <w:rPr>
                <w:rFonts w:ascii="Consolas" w:cs="Consolas" w:eastAsia="Consolas" w:hAnsi="Consolas"/>
                <w:b w:val="false"/>
                <w:bCs w:val="false"/>
                <w:sz w:val="16"/>
                <w:szCs w:val="16"/>
                <w:shd w:fill="EEF0F3" w:color="auto" w:val="clear"/>
              </w:rPr>
              <w:t xml:space="preserve">/event/...</w:t>
            </w:r>
            <w:r>
              <w:rPr>
                <w:b w:val="false"/>
                <w:bCs w:val="false"/>
                <w:sz w:val="17"/>
                <w:szCs w:val="17"/>
              </w:rPr>
              <w:t xml:space="preserve"> channel</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Documented the Tooling/Metadata API route: named credential </w:t>
            </w:r>
            <w:r>
              <w:rPr>
                <w:rFonts w:ascii="Consolas" w:cs="Consolas" w:eastAsia="Consolas" w:hAnsi="Consolas"/>
                <w:b w:val="false"/>
                <w:bCs w:val="false"/>
                <w:sz w:val="16"/>
                <w:szCs w:val="16"/>
                <w:shd w:fill="EEF0F3" w:color="auto" w:val="clear"/>
              </w:rPr>
              <w:t xml:space="preserve">arn:aws:&lt;region&gt;:&lt;account&gt;</w:t>
            </w:r>
            <w:r>
              <w:rPr>
                <w:b w:val="false"/>
                <w:bCs w:val="false"/>
                <w:sz w:val="17"/>
                <w:szCs w:val="17"/>
              </w:rPr>
              <w:t xml:space="preserve"> with no auth, a PlatformEventChannel plus member, EventRelayConfig, </w:t>
            </w:r>
            <w:r>
              <w:rPr>
                <w:rFonts w:ascii="Consolas" w:cs="Consolas" w:eastAsia="Consolas" w:hAnsi="Consolas"/>
                <w:b w:val="false"/>
                <w:bCs w:val="false"/>
                <w:sz w:val="16"/>
                <w:szCs w:val="16"/>
                <w:shd w:fill="EEF0F3" w:color="auto" w:val="clear"/>
              </w:rPr>
              <w:t xml:space="preserve">state=RUN</w:t>
            </w:r>
            <w:r>
              <w:rPr>
                <w:b w:val="false"/>
                <w:bCs w:val="false"/>
                <w:sz w:val="17"/>
                <w:szCs w:val="17"/>
              </w:rPr>
              <w:t xml:space="preserve">, then associate the partner source</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EventRelayConfig object reference; worked example (Cloudwerx)</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M6</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MCP step guessed at a "Setup → MCP Servers" page</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MCP for Agentforce</w:t>
            </w:r>
            <w:r>
              <w:rPr>
                <w:b w:val="false"/>
                <w:bCs w:val="false"/>
                <w:sz w:val="17"/>
                <w:szCs w:val="17"/>
              </w:rPr>
              <w:t xml:space="preserve">: MuleSoft- and Salesforce-hosted servers register in </w:t>
            </w:r>
            <w:r>
              <w:rPr>
                <w:b/>
                <w:bCs/>
                <w:sz w:val="17"/>
                <w:szCs w:val="17"/>
              </w:rPr>
              <w:t xml:space="preserve">API Catalog</w:t>
            </w:r>
            <w:r>
              <w:rPr>
                <w:b w:val="false"/>
                <w:bCs w:val="false"/>
                <w:sz w:val="17"/>
                <w:szCs w:val="17"/>
              </w:rPr>
              <w:t xml:space="preserve">, external ones in the </w:t>
            </w:r>
            <w:r>
              <w:rPr>
                <w:b/>
                <w:bCs/>
                <w:sz w:val="17"/>
                <w:szCs w:val="17"/>
              </w:rPr>
              <w:t xml:space="preserve">Agentforce Registry</w:t>
            </w:r>
            <w:r>
              <w:rPr>
                <w:b w:val="false"/>
                <w:bCs w:val="false"/>
                <w:sz w:val="17"/>
                <w:szCs w:val="17"/>
              </w:rPr>
              <w:t xml:space="preserve">. Tools are added in Agentforce Builder and governed by </w:t>
            </w:r>
            <w:r>
              <w:rPr>
                <w:b/>
                <w:bCs/>
                <w:sz w:val="17"/>
                <w:szCs w:val="17"/>
              </w:rPr>
              <w:t xml:space="preserve">Agentforce Gateway</w:t>
            </w:r>
            <w:r>
              <w:rPr>
                <w:b w:val="false"/>
                <w:bCs w:val="false"/>
                <w:sz w:val="17"/>
                <w:szCs w:val="17"/>
              </w:rPr>
              <w:t xml:space="preserve">. External Services kept as fallback</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Trailhead </w:t>
            </w:r>
            <w:r>
              <w:rPr>
                <w:b w:val="false"/>
                <w:bCs w:val="false"/>
                <w:i/>
                <w:iCs/>
                <w:sz w:val="17"/>
                <w:szCs w:val="17"/>
              </w:rPr>
              <w:t xml:space="preserve">Discover MCP for Agentforce</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M7</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anypoint-cli-v4 account environment list</w:t>
            </w:r>
            <w:r>
              <w:rPr>
                <w:b w:val="false"/>
                <w:bCs w:val="false"/>
                <w:sz w:val="17"/>
                <w:szCs w:val="17"/>
              </w:rPr>
              <w:t xml:space="preserve"> doesn't exist in CLI 4.x, which removed environment and business-group commands</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Uses </w:t>
            </w:r>
            <w:r>
              <w:rPr>
                <w:rFonts w:ascii="Consolas" w:cs="Consolas" w:eastAsia="Consolas" w:hAnsi="Consolas"/>
                <w:b w:val="false"/>
                <w:bCs w:val="false"/>
                <w:sz w:val="16"/>
                <w:szCs w:val="16"/>
                <w:shd w:fill="EEF0F3" w:color="auto" w:val="clear"/>
              </w:rPr>
              <w:t xml:space="preserve">runtime-mgr:application:list</w:t>
            </w:r>
            <w:r>
              <w:rPr>
                <w:b w:val="false"/>
                <w:bCs w:val="false"/>
                <w:sz w:val="17"/>
                <w:szCs w:val="17"/>
              </w:rPr>
              <w:t xml:space="preserve">; notes the colon/space syntax and connected-app-only auth</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CLI 4.x docs</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M8</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Nginx </w:t>
            </w:r>
            <w:r>
              <w:rPr>
                <w:rFonts w:ascii="Consolas" w:cs="Consolas" w:eastAsia="Consolas" w:hAnsi="Consolas"/>
                <w:b w:val="false"/>
                <w:bCs w:val="false"/>
                <w:sz w:val="16"/>
                <w:szCs w:val="16"/>
                <w:shd w:fill="EEF0F3" w:color="auto" w:val="clear"/>
              </w:rPr>
              <w:t xml:space="preserve">limit_req_zone</w:t>
            </w:r>
            <w:r>
              <w:rPr>
                <w:b w:val="false"/>
                <w:bCs w:val="false"/>
                <w:sz w:val="17"/>
                <w:szCs w:val="17"/>
              </w:rPr>
              <w:t xml:space="preserve"> was inside </w:t>
            </w:r>
            <w:r>
              <w:rPr>
                <w:rFonts w:ascii="Consolas" w:cs="Consolas" w:eastAsia="Consolas" w:hAnsi="Consolas"/>
                <w:b w:val="false"/>
                <w:bCs w:val="false"/>
                <w:sz w:val="16"/>
                <w:szCs w:val="16"/>
                <w:shd w:fill="EEF0F3" w:color="auto" w:val="clear"/>
              </w:rPr>
              <w:t xml:space="preserve">server {}</w:t>
            </w:r>
            <w:r>
              <w:rPr>
                <w:b w:val="false"/>
                <w:bCs w:val="false"/>
                <w:sz w:val="17"/>
                <w:szCs w:val="17"/>
              </w:rPr>
              <w:t xml:space="preserve">, where nginx rejects it</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Moved to the http context; added </w:t>
            </w:r>
            <w:r>
              <w:rPr>
                <w:rFonts w:ascii="Consolas" w:cs="Consolas" w:eastAsia="Consolas" w:hAnsi="Consolas"/>
                <w:b w:val="false"/>
                <w:bCs w:val="false"/>
                <w:sz w:val="16"/>
                <w:szCs w:val="16"/>
                <w:shd w:fill="EEF0F3" w:color="auto" w:val="clear"/>
              </w:rPr>
              <w:t xml:space="preserve">limit_req_status 429</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nginx directive contexts</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M9</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Dockerfile's </w:t>
            </w:r>
            <w:r>
              <w:rPr>
                <w:rFonts w:ascii="Consolas" w:cs="Consolas" w:eastAsia="Consolas" w:hAnsi="Consolas"/>
                <w:b w:val="false"/>
                <w:bCs w:val="false"/>
                <w:sz w:val="16"/>
                <w:szCs w:val="16"/>
                <w:shd w:fill="EEF0F3" w:color="auto" w:val="clear"/>
              </w:rPr>
              <w:t xml:space="preserve">uv export</w:t>
            </w:r>
            <w:r>
              <w:rPr>
                <w:b w:val="false"/>
                <w:bCs w:val="false"/>
                <w:sz w:val="17"/>
                <w:szCs w:val="17"/>
              </w:rPr>
              <w:t xml:space="preserve"> would include the project itself (</w:t>
            </w:r>
            <w:r>
              <w:rPr>
                <w:rFonts w:ascii="Consolas" w:cs="Consolas" w:eastAsia="Consolas" w:hAnsi="Consolas"/>
                <w:b w:val="false"/>
                <w:bCs w:val="false"/>
                <w:sz w:val="16"/>
                <w:szCs w:val="16"/>
                <w:shd w:fill="EEF0F3" w:color="auto" w:val="clear"/>
              </w:rPr>
              <w:t xml:space="preserve">-e .</w:t>
            </w:r>
            <w:r>
              <w:rPr>
                <w:b w:val="false"/>
                <w:bCs w:val="false"/>
                <w:sz w:val="17"/>
                <w:szCs w:val="17"/>
              </w:rPr>
              <w:t xml:space="preserve">) before its source was copied, breaking the wheel build</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Added </w:t>
            </w:r>
            <w:r>
              <w:rPr>
                <w:rFonts w:ascii="Consolas" w:cs="Consolas" w:eastAsia="Consolas" w:hAnsi="Consolas"/>
                <w:b w:val="false"/>
                <w:bCs w:val="false"/>
                <w:sz w:val="16"/>
                <w:szCs w:val="16"/>
                <w:shd w:fill="EEF0F3" w:color="auto" w:val="clear"/>
              </w:rPr>
              <w:t xml:space="preserve">--no-emit-project</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uv export behaviour</w:t>
            </w:r>
          </w:p>
        </w:tc>
      </w:tr>
      <w:tr>
        <w:trPr>
          <w:cantSplit/>
        </w:trPr>
        <w:tc>
          <w:tcPr>
            <w:tcW w:type="dxa" w:w="5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M10</w:t>
            </w:r>
          </w:p>
        </w:tc>
        <w:tc>
          <w:tcPr>
            <w:tcW w:type="dxa" w:w="10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00, 01, 06, 07</w:t>
            </w:r>
          </w:p>
        </w:tc>
        <w:tc>
          <w:tcPr>
            <w:tcW w:type="dxa" w:w="30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Four embedded Mermaid diagrams failed to parse because of parentheses in labels (fixed in the previous turn)</w:t>
            </w:r>
          </w:p>
        </w:tc>
        <w:tc>
          <w:tcPr>
            <w:tcW w:type="dxa" w:w="34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Labels quoted; all diagrams re-validated</w:t>
            </w:r>
          </w:p>
        </w:tc>
        <w:tc>
          <w:tcPr>
            <w:tcW w:type="dxa" w:w="20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Mermaid parser</w:t>
            </w:r>
          </w:p>
        </w:tc>
      </w:tr>
    </w:tbl>
    <w:p>
      <w:pPr>
        <w:spacing w:after="120"/>
      </w:pPr>
    </w:p>
    <w:p>
      <w:pPr>
        <w:pStyle w:val="Heading2"/>
      </w:pPr>
      <w:r>
        <w:t xml:space="preserve">Low — clarity, consistency, small corrections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8"/>
        <w:gridCol w:w="807"/>
        <w:gridCol w:w="8555"/>
      </w:tblGrid>
      <w:tr>
        <w:trPr>
          <w:cantSplit/>
          <w:tblHeader/>
        </w:trPr>
        <w:tc>
          <w:tcPr>
            <w:tcW w:type="dxa" w:w="7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8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85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Header said Module 08 runs "alongside Project 04", contradicting the Phase 2 plan. Corrected to "with Project 03, exam ~week 12"</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L2</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01</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claim "Include in token type" row now says Access Token (the "Always" option belongs to ID tokens)</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L3</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Kinesis lab said "1 shard, on-demand mode", which contradicts itself. Now provisioned with 1 shard, compared with on-demand</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L4</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Backup lab suggested compliance-mode Vault Lock. Changed to governance mode, because compliance mode becomes immutable and the vault can't be deleted</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L5</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Added Multi-AZ </w:t>
            </w:r>
            <w:r>
              <w:rPr>
                <w:b/>
                <w:bCs/>
                <w:sz w:val="17"/>
                <w:szCs w:val="17"/>
              </w:rPr>
              <w:t xml:space="preserve">DB cluster</w:t>
            </w:r>
            <w:r>
              <w:rPr>
                <w:b w:val="false"/>
                <w:bCs w:val="false"/>
                <w:sz w:val="17"/>
                <w:szCs w:val="17"/>
              </w:rPr>
              <w:t xml:space="preserve"> (two readable standbys) vs Multi-AZ instance, a common exam distinction</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L6</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Saga subscriber now names the </w:t>
            </w:r>
            <w:r>
              <w:rPr>
                <w:b/>
                <w:bCs/>
                <w:sz w:val="17"/>
                <w:szCs w:val="17"/>
              </w:rPr>
              <w:t xml:space="preserve">Salesforce Pub/Sub Connector</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L7</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Ingestion API scopes include </w:t>
            </w:r>
            <w:r>
              <w:rPr>
                <w:rFonts w:ascii="Consolas" w:cs="Consolas" w:eastAsia="Consolas" w:hAnsi="Consolas"/>
                <w:b w:val="false"/>
                <w:bCs w:val="false"/>
                <w:sz w:val="16"/>
                <w:szCs w:val="16"/>
                <w:shd w:fill="EEF0F3" w:color="auto" w:val="clear"/>
              </w:rPr>
              <w:t xml:space="preserve">refresh_token</w:t>
            </w:r>
            <w:r>
              <w:rPr>
                <w:b w:val="false"/>
                <w:bCs w:val="false"/>
                <w:sz w:val="17"/>
                <w:szCs w:val="17"/>
              </w:rPr>
              <w:t xml:space="preserve">/</w:t>
            </w:r>
            <w:r>
              <w:rPr>
                <w:rFonts w:ascii="Consolas" w:cs="Consolas" w:eastAsia="Consolas" w:hAnsi="Consolas"/>
                <w:b w:val="false"/>
                <w:bCs w:val="false"/>
                <w:sz w:val="16"/>
                <w:szCs w:val="16"/>
                <w:shd w:fill="EEF0F3" w:color="auto" w:val="clear"/>
              </w:rPr>
              <w:t xml:space="preserve">offline_access</w:t>
            </w:r>
            <w:r>
              <w:rPr>
                <w:b w:val="false"/>
                <w:bCs w:val="false"/>
                <w:sz w:val="17"/>
                <w:szCs w:val="17"/>
              </w:rPr>
              <w:t xml:space="preserve">. Confirmed that the Data 360 token response returns a bare hostname, so the code's </w:t>
            </w:r>
            <w:r>
              <w:rPr>
                <w:rFonts w:ascii="Consolas" w:cs="Consolas" w:eastAsia="Consolas" w:hAnsi="Consolas"/>
                <w:b w:val="false"/>
                <w:bCs w:val="false"/>
                <w:sz w:val="16"/>
                <w:szCs w:val="16"/>
                <w:shd w:fill="EEF0F3" w:color="auto" w:val="clear"/>
              </w:rPr>
              <w:t xml:space="preserve">https://</w:t>
            </w:r>
            <w:r>
              <w:rPr>
                <w:b w:val="false"/>
                <w:bCs w:val="false"/>
                <w:sz w:val="17"/>
                <w:szCs w:val="17"/>
              </w:rPr>
              <w:t xml:space="preserve"> prefix is right</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L8</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Added Omni Gateway 1.14 OAuth Protected Resource Metadata (MCP OAuth discovery), the MCP version compatibility check, and </w:t>
            </w:r>
            <w:r>
              <w:rPr>
                <w:b/>
                <w:bCs/>
                <w:sz w:val="17"/>
                <w:szCs w:val="17"/>
              </w:rPr>
              <w:t xml:space="preserve">MCP Bridge</w:t>
            </w:r>
            <w:r>
              <w:rPr>
                <w:b w:val="false"/>
                <w:bCs w:val="false"/>
                <w:sz w:val="17"/>
                <w:szCs w:val="17"/>
              </w:rPr>
              <w:t xml:space="preserve"> (1.12+) as an ADR-022 alternative</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L9</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MCP connector XML gets </w:t>
            </w:r>
            <w:r>
              <w:rPr>
                <w:rFonts w:ascii="Consolas" w:cs="Consolas" w:eastAsia="Consolas" w:hAnsi="Consolas"/>
                <w:b w:val="false"/>
                <w:bCs w:val="false"/>
                <w:sz w:val="16"/>
                <w:szCs w:val="16"/>
                <w:shd w:fill="EEF0F3" w:color="auto" w:val="clear"/>
              </w:rPr>
              <w:t xml:space="preserve">mcpEndpointPath="/mcp"</w:t>
            </w:r>
            <w:r>
              <w:rPr>
                <w:b w:val="false"/>
                <w:bCs w:val="false"/>
                <w:sz w:val="17"/>
                <w:szCs w:val="17"/>
              </w:rPr>
              <w:t xml:space="preserve">; noted that the docs show both </w:t>
            </w:r>
            <w:r>
              <w:rPr>
                <w:rFonts w:ascii="Consolas" w:cs="Consolas" w:eastAsia="Consolas" w:hAnsi="Consolas"/>
                <w:b w:val="false"/>
                <w:bCs w:val="false"/>
                <w:sz w:val="16"/>
                <w:szCs w:val="16"/>
                <w:shd w:fill="EEF0F3" w:color="auto" w:val="clear"/>
              </w:rPr>
              <w:t xml:space="preserve">mcp:server-config</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mcp:config</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L10</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Inactivity rules: Salesforce Developer Edition may be terminated after 45 days, and Okta Integrator orgs deactivate after 90 days without sign-ins</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L11</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HTTP request examples relabelled from </w:t>
            </w:r>
            <w:r>
              <w:rPr>
                <w:rFonts w:ascii="Consolas" w:cs="Consolas" w:eastAsia="Consolas" w:hAnsi="Consolas"/>
                <w:b w:val="false"/>
                <w:bCs w:val="false"/>
                <w:sz w:val="16"/>
                <w:szCs w:val="16"/>
                <w:shd w:fill="EEF0F3" w:color="auto" w:val="clear"/>
              </w:rPr>
              <w:t xml:space="preserve">json</w:t>
            </w:r>
            <w:r>
              <w:rPr>
                <w:b w:val="false"/>
                <w:bCs w:val="false"/>
                <w:sz w:val="17"/>
                <w:szCs w:val="17"/>
              </w:rPr>
              <w:t xml:space="preserve"> to </w:t>
            </w:r>
            <w:r>
              <w:rPr>
                <w:rFonts w:ascii="Consolas" w:cs="Consolas" w:eastAsia="Consolas" w:hAnsi="Consolas"/>
                <w:b w:val="false"/>
                <w:bCs w:val="false"/>
                <w:sz w:val="16"/>
                <w:szCs w:val="16"/>
                <w:shd w:fill="EEF0F3" w:color="auto" w:val="clear"/>
              </w:rPr>
              <w:t xml:space="preserve">http</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L12</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Savings Plans/RI exercise marked "calculate only" (free-plan accounts can't buy them anyway)</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L13</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"POC cost mode" changed to "lab cost mode"</w:t>
            </w:r>
          </w:p>
        </w:tc>
      </w:tr>
      <w:tr>
        <w:trPr>
          <w:cantSplit/>
        </w:trPr>
        <w:tc>
          <w:tcPr>
            <w:tcW w:type="dxa" w:w="7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L14</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85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Warning added: AWS's exam guide still shows SAA-C03, and third-party "SAA-C04" pages give contradictory dates</w:t>
            </w:r>
          </w:p>
        </w:tc>
      </w:tr>
    </w:tbl>
    <w:p>
      <w:pPr>
        <w:spacing w:after="120"/>
      </w:pPr>
    </w:p>
    <w:p>
      <w:pPr>
        <w:pStyle w:val="Heading2"/>
      </w:pPr>
      <w:r>
        <w:t xml:space="preserve">Coverage additions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93"/>
        <w:gridCol w:w="870"/>
        <w:gridCol w:w="8517"/>
      </w:tblGrid>
      <w:tr>
        <w:trPr>
          <w:cantSplit/>
          <w:tblHeader/>
        </w:trPr>
        <w:tc>
          <w:tcPr>
            <w:tcW w:type="dxa" w:w="6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8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8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Addition</w:t>
            </w:r>
          </w:p>
        </w:tc>
      </w:tr>
      <w:tr>
        <w:trPr>
          <w:cantSplit/>
        </w:trPr>
        <w:tc>
          <w:tcPr>
            <w:tcW w:type="dxa" w:w="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C1</w:t>
            </w:r>
          </w:p>
        </w:tc>
        <w:tc>
          <w:tcPr>
            <w:tcW w:type="dxa" w:w="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w:t>
            </w:r>
          </w:p>
        </w:tc>
        <w:tc>
          <w:tcPr>
            <w:tcW w:type="dxa" w:w="8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What changed in the December 2025 Admin refresh, and how the Agentforce objectives map to labs G1–G4</w:t>
            </w:r>
          </w:p>
        </w:tc>
      </w:tr>
      <w:tr>
        <w:trPr>
          <w:cantSplit/>
        </w:trPr>
        <w:tc>
          <w:tcPr>
            <w:tcW w:type="dxa" w:w="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C2</w:t>
            </w:r>
          </w:p>
        </w:tc>
        <w:tc>
          <w:tcPr>
            <w:tcW w:type="dxa" w:w="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09</w:t>
            </w:r>
          </w:p>
        </w:tc>
        <w:tc>
          <w:tcPr>
            <w:tcW w:type="dxa" w:w="8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Reported section weightings (Spring '26-aligned study guides). D23 now requires predictive/generative AI tooling to be done hands-on</w:t>
            </w:r>
          </w:p>
        </w:tc>
      </w:tr>
      <w:tr>
        <w:trPr>
          <w:cantSplit/>
        </w:trPr>
        <w:tc>
          <w:tcPr>
            <w:tcW w:type="dxa" w:w="6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C3</w:t>
            </w:r>
          </w:p>
        </w:tc>
        <w:tc>
          <w:tcPr>
            <w:tcW w:type="dxa" w:w="8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07, 12</w:t>
            </w:r>
          </w:p>
        </w:tc>
        <w:tc>
          <w:tcPr>
            <w:tcW w:type="dxa" w:w="8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w:t>
            </w:r>
            <w:r>
              <w:rPr>
                <w:b/>
                <w:bCs/>
                <w:sz w:val="17"/>
                <w:szCs w:val="17"/>
              </w:rPr>
              <w:t xml:space="preserve">managed harness</w:t>
            </w:r>
            <w:r>
              <w:rPr>
                <w:b w:val="false"/>
                <w:bCs w:val="false"/>
                <w:sz w:val="17"/>
                <w:szCs w:val="17"/>
              </w:rPr>
              <w:t xml:space="preserve"> (config-only agent loop) added to the agent-platform comparison and ADR-021</w:t>
            </w:r>
          </w:p>
        </w:tc>
      </w:tr>
    </w:tbl>
    <w:p>
      <w:pPr>
        <w:spacing w:after="120"/>
      </w:pPr>
    </w:p>
    <w:p>
      <w:pPr>
        <w:pBdr>
          <w:bottom w:val="single" w:color="BFBFBF" w:sz="6" w:space="1"/>
        </w:pBdr>
        <w:spacing w:after="120" w:before="120"/>
      </w:pPr>
    </w:p>
    <w:p>
      <w:pPr>
        <w:pStyle w:val="Heading1"/>
      </w:pPr>
      <w:bookmarkStart w:name="s3" w:id="3"/>
      <w:r>
        <w:t xml:space="preserve">3. Verified as correct (no change needed)</w:t>
      </w:r>
      <w:bookmarkEnd w:id="3"/>
    </w:p>
    <w:p>
      <w:pPr>
        <w:pStyle w:val="ListParagraph"/>
        <w:numPr>
          <w:ilvl w:val="0"/>
          <w:numId w:val="2"/>
        </w:numPr>
        <w:spacing w:after="60"/>
      </w:pPr>
      <w:r>
        <w:t xml:space="preserve">Salesforce </w:t>
      </w:r>
      <w:r>
        <w:rPr>
          <w:b/>
          <w:bCs/>
        </w:rPr>
        <w:t xml:space="preserve">order of execution</w:t>
      </w:r>
      <w:r>
        <w:t xml:space="preserve">: after-save record-triggered flows run before entitlement rules, then roll-ups, criteria-based sharing, commit, post-commit (Module 08 F7).</w:t>
      </w:r>
    </w:p>
    <w:p>
      <w:pPr>
        <w:pStyle w:val="ListParagraph"/>
        <w:numPr>
          <w:ilvl w:val="0"/>
          <w:numId w:val="2"/>
        </w:numPr>
        <w:spacing w:after="60"/>
      </w:pPr>
      <w:r>
        <w:t xml:space="preserve">External Credential OAuth flow names: Browser Flow, JWT Bearer Flow, Client Credentials with JWT Assertion, Client Credentials with Client Secret Flow (Project 03).</w:t>
      </w:r>
    </w:p>
    <w:p>
      <w:pPr>
        <w:pStyle w:val="ListParagraph"/>
        <w:numPr>
          <w:ilvl w:val="0"/>
          <w:numId w:val="2"/>
        </w:numPr>
        <w:spacing w:after="60"/>
      </w:pPr>
      <w:r>
        <w:t xml:space="preserve">Data 360 token exchange: </w:t>
      </w:r>
      <w:r>
        <w:rPr>
          <w:rFonts w:ascii="Consolas" w:cs="Consolas" w:eastAsia="Consolas" w:hAnsi="Consolas"/>
          <w:sz w:val="19"/>
          <w:szCs w:val="19"/>
          <w:shd w:fill="EEF0F3" w:color="auto" w:val="clear"/>
        </w:rPr>
        <w:t xml:space="preserve">POST /services/a360/token</w:t>
      </w:r>
      <w:r>
        <w:t xml:space="preserve"> with </w:t>
      </w:r>
      <w:r>
        <w:rPr>
          <w:rFonts w:ascii="Consolas" w:cs="Consolas" w:eastAsia="Consolas" w:hAnsi="Consolas"/>
          <w:sz w:val="19"/>
          <w:szCs w:val="19"/>
          <w:shd w:fill="EEF0F3" w:color="auto" w:val="clear"/>
        </w:rPr>
        <w:t xml:space="preserve">grant_type=urn:salesforce:grant-type:external:cdp</w:t>
      </w:r>
      <w:r>
        <w:t xml:space="preserve"> (Project 04).</w:t>
      </w:r>
    </w:p>
    <w:p>
      <w:pPr>
        <w:pStyle w:val="ListParagraph"/>
        <w:numPr>
          <w:ilvl w:val="0"/>
          <w:numId w:val="2"/>
        </w:numPr>
        <w:spacing w:after="60"/>
      </w:pPr>
      <w:r>
        <w:t xml:space="preserve">MuleSoft MCP Connector structure: </w:t>
      </w:r>
      <w:r>
        <w:rPr>
          <w:rFonts w:ascii="Consolas" w:cs="Consolas" w:eastAsia="Consolas" w:hAnsi="Consolas"/>
          <w:sz w:val="19"/>
          <w:szCs w:val="19"/>
          <w:shd w:fill="EEF0F3" w:color="auto" w:val="clear"/>
        </w:rPr>
        <w:t xml:space="preserve">tool-listener</w:t>
      </w:r>
      <w:r>
        <w:t xml:space="preserve">, </w:t>
      </w:r>
      <w:r>
        <w:rPr>
          <w:rFonts w:ascii="Consolas" w:cs="Consolas" w:eastAsia="Consolas" w:hAnsi="Consolas"/>
          <w:sz w:val="19"/>
          <w:szCs w:val="19"/>
          <w:shd w:fill="EEF0F3" w:color="auto" w:val="clear"/>
        </w:rPr>
        <w:t xml:space="preserve">description</w:t>
      </w:r>
      <w:r>
        <w:t xml:space="preserve">, </w:t>
      </w:r>
      <w:r>
        <w:rPr>
          <w:rFonts w:ascii="Consolas" w:cs="Consolas" w:eastAsia="Consolas" w:hAnsi="Consolas"/>
          <w:sz w:val="19"/>
          <w:szCs w:val="19"/>
          <w:shd w:fill="EEF0F3" w:color="auto" w:val="clear"/>
        </w:rPr>
        <w:t xml:space="preserve">parameters-schema</w:t>
      </w:r>
      <w:r>
        <w:t xml:space="preserve">, </w:t>
      </w:r>
      <w:r>
        <w:rPr>
          <w:rFonts w:ascii="Consolas" w:cs="Consolas" w:eastAsia="Consolas" w:hAnsi="Consolas"/>
          <w:sz w:val="19"/>
          <w:szCs w:val="19"/>
          <w:shd w:fill="EEF0F3" w:color="auto" w:val="clear"/>
        </w:rPr>
        <w:t xml:space="preserve">responses/text-tool-response-content</w:t>
      </w:r>
      <w:r>
        <w:t xml:space="preserve"> (Project 07).</w:t>
      </w:r>
    </w:p>
    <w:p>
      <w:pPr>
        <w:pStyle w:val="ListParagraph"/>
        <w:numPr>
          <w:ilvl w:val="0"/>
          <w:numId w:val="2"/>
        </w:numPr>
        <w:spacing w:after="60"/>
      </w:pPr>
      <w:r>
        <w:t xml:space="preserve">Omni/Flex MCP Support policy must come first and isn't supported in local mode (Project 07).</w:t>
      </w:r>
    </w:p>
    <w:p>
      <w:pPr>
        <w:pStyle w:val="ListParagraph"/>
        <w:numPr>
          <w:ilvl w:val="0"/>
          <w:numId w:val="2"/>
        </w:numPr>
        <w:spacing w:after="60"/>
      </w:pPr>
      <w:r>
        <w:t xml:space="preserve">AgentCore custom JWT authorizer fields (discovery URL, allowed audience, allowed clients) and Okta custom-authorization-server support (Project 07).</w:t>
      </w:r>
    </w:p>
    <w:p>
      <w:pPr>
        <w:pStyle w:val="ListParagraph"/>
        <w:numPr>
          <w:ilvl w:val="0"/>
          <w:numId w:val="2"/>
        </w:numPr>
        <w:spacing w:after="60"/>
      </w:pPr>
      <w:r>
        <w:t xml:space="preserve">Okta Integrator Free Plan includes API Access Management (custom authorization servers) and up to 10 active users. Okta's token-exchange guide is written for this plan (Project 01).</w:t>
      </w:r>
    </w:p>
    <w:p>
      <w:pPr>
        <w:pStyle w:val="ListParagraph"/>
        <w:numPr>
          <w:ilvl w:val="0"/>
          <w:numId w:val="2"/>
        </w:numPr>
        <w:spacing w:after="60"/>
      </w:pPr>
      <w:r>
        <w:t xml:space="preserve">A2A Agent Card path </w:t>
      </w:r>
      <w:r>
        <w:rPr>
          <w:rFonts w:ascii="Consolas" w:cs="Consolas" w:eastAsia="Consolas" w:hAnsi="Consolas"/>
          <w:sz w:val="19"/>
          <w:szCs w:val="19"/>
          <w:shd w:fill="EEF0F3" w:color="auto" w:val="clear"/>
        </w:rPr>
        <w:t xml:space="preserve">/.well-known/agent-card.json</w:t>
      </w:r>
      <w:r>
        <w:t xml:space="preserve"> (Module 12).</w:t>
      </w:r>
    </w:p>
    <w:p>
      <w:pPr>
        <w:pStyle w:val="ListParagraph"/>
        <w:numPr>
          <w:ilvl w:val="0"/>
          <w:numId w:val="2"/>
        </w:numPr>
        <w:spacing w:after="60"/>
      </w:pPr>
      <w:r>
        <w:t xml:space="preserve">Platform Administrator weightings, effective December 15, 2025 (Module 08).</w:t>
      </w:r>
    </w:p>
    <w:p>
      <w:pPr>
        <w:pStyle w:val="ListParagraph"/>
        <w:numPr>
          <w:ilvl w:val="0"/>
          <w:numId w:val="2"/>
        </w:numPr>
        <w:spacing w:after="60"/>
      </w:pPr>
      <w:r>
        <w:t xml:space="preserve">AWS FSI Lens update for generative and agentic AI (January 27, 2026) and the Salesforce Well-Architected five-pillar framework (September 14, 2026) (Module 11).</w:t>
      </w:r>
    </w:p>
    <w:p>
      <w:pPr>
        <w:pStyle w:val="ListParagraph"/>
        <w:numPr>
          <w:ilvl w:val="0"/>
          <w:numId w:val="2"/>
        </w:numPr>
        <w:spacing w:after="60"/>
      </w:pPr>
      <w:r>
        <w:t xml:space="preserve">SAA-C03 format: 50 scored + 15 unscored questions, scaled pass mark 720 (Module 10).</w:t>
      </w:r>
    </w:p>
    <w:p>
      <w:pPr>
        <w:pBdr>
          <w:bottom w:val="single" w:color="BFBFBF" w:sz="6" w:space="1"/>
        </w:pBdr>
        <w:spacing w:after="120" w:before="120"/>
      </w:pPr>
    </w:p>
    <w:p>
      <w:pPr>
        <w:pStyle w:val="Heading1"/>
      </w:pPr>
      <w:bookmarkStart w:name="s4" w:id="4"/>
      <w:r>
        <w:t xml:space="preserve">4. Certification coverage after this review</w:t>
      </w:r>
      <w:bookmarkEnd w:id="4"/>
    </w:p>
    <w:p>
      <w:pPr>
        <w:pStyle w:val="Heading2"/>
      </w:pPr>
      <w:r>
        <w:t xml:space="preserve">Platform Administrator (refreshed December 15,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66"/>
        <w:gridCol w:w="1738"/>
        <w:gridCol w:w="3246"/>
        <w:gridCol w:w="1130"/>
      </w:tblGrid>
      <w:tr>
        <w:trPr>
          <w:cantSplit/>
          <w:tblHeader/>
        </w:trPr>
        <w:tc>
          <w:tcPr>
            <w:tcW w:type="dxa" w:w="39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32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c>
          <w:tcPr>
            <w:tcW w:type="dxa" w:w="11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Status</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and Analytics Management</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(was 14%)</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A1–A6, 03 data model</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Configuration and Setup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(was 20%)</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C1–C6, 03 security/SSO</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Object Manager and Lightning App Builder</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(was 20%)</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O1–O7</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Automation</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(was 16%)</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F1–F7, 03/04/07 flows and approvals</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 and Marketing Applications</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(was 12%)</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S1–S5</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and Support Applications</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(was 11%)</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V1–V6, 12 S1–S2</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Productivity and Collaboration</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(was 7%)</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P1–P5</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Agentforce (new)</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3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G1–G4, 07 Phase D, 12 S1–S3</w:t>
            </w:r>
          </w:p>
        </w:tc>
        <w:tc>
          <w:tcPr>
            <w:tcW w:type="dxa" w:w="11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pStyle w:val="Heading2"/>
      </w:pPr>
      <w:r>
        <w:t xml:space="preserve">Data 360 Consultant (Spring '26-aligned; weightings as reported by study guides)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9"/>
        <w:gridCol w:w="956"/>
        <w:gridCol w:w="2560"/>
        <w:gridCol w:w="2655"/>
      </w:tblGrid>
      <w:tr>
        <w:trPr>
          <w:cantSplit/>
          <w:tblHeader/>
        </w:trPr>
        <w:tc>
          <w:tcPr>
            <w:tcW w:type="dxa" w:w="39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9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2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c>
          <w:tcPr>
            <w:tcW w:type="dxa" w:w="26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Status</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Solution Positioning</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09 D1–D4, ADR-009</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Setup and Administration</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Step 1, 09 D5–D8</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(data spaces partly design-only in Developer Edition)</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Source Connection and Ingestion</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Steps 2–4, 09 D9–D13 (incl. zero-copy)</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Harmonization and Unification</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Steps 5–6, 09 D14–D17</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Enhancements, Sharing, and Analysis (incl. predictive and generative AI tooling)</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Step 6, 09 D18–D23, 12 M2</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(AI tooling now explicitly hands-on)</w:t>
            </w:r>
          </w:p>
        </w:tc>
      </w:tr>
      <w:tr>
        <w:trPr>
          <w:cantSplit/>
        </w:trPr>
        <w:tc>
          <w:tcPr>
            <w:tcW w:type="dxa" w:w="39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Activations and Utilization</w:t>
            </w:r>
          </w:p>
        </w:tc>
        <w:tc>
          <w:tcPr>
            <w:tcW w:type="dxa" w:w="9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Steps 7–8, 09 D24–D29</w:t>
            </w:r>
          </w:p>
        </w:tc>
        <w:tc>
          <w:tcPr>
            <w:tcW w:type="dxa" w:w="26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pStyle w:val="Heading2"/>
      </w:pPr>
      <w:r>
        <w:t xml:space="preserve">AWS Solutions Architect – Associate (SAA-C03)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56"/>
        <w:gridCol w:w="1309"/>
        <w:gridCol w:w="2303"/>
        <w:gridCol w:w="1312"/>
      </w:tblGrid>
      <w:tr>
        <w:trPr>
          <w:cantSplit/>
          <w:tblHeader/>
        </w:trPr>
        <w:tc>
          <w:tcPr>
            <w:tcW w:type="dxa" w:w="5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Domain</w:t>
            </w:r>
          </w:p>
        </w:tc>
        <w:tc>
          <w:tcPr>
            <w:tcW w:type="dxa" w:w="13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23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c>
          <w:tcPr>
            <w:tcW w:type="dxa" w:w="131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Status</w:t>
            </w:r>
          </w:p>
        </w:tc>
      </w:tr>
      <w:tr>
        <w:trPr>
          <w:cantSplit/>
        </w:trPr>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Secure architectures</w:t>
            </w:r>
          </w:p>
        </w:tc>
        <w:tc>
          <w:tcPr>
            <w:tcW w:type="dxa" w:w="1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w:t>
            </w:r>
          </w:p>
        </w:tc>
        <w:tc>
          <w:tcPr>
            <w:tcW w:type="dxa" w:w="23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 10 S1–S10</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Resilient architectures</w:t>
            </w:r>
          </w:p>
        </w:tc>
        <w:tc>
          <w:tcPr>
            <w:tcW w:type="dxa" w:w="1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26%</w:t>
            </w:r>
          </w:p>
        </w:tc>
        <w:tc>
          <w:tcPr>
            <w:tcW w:type="dxa" w:w="23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R1–R9</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High-performing architectures</w:t>
            </w:r>
          </w:p>
        </w:tc>
        <w:tc>
          <w:tcPr>
            <w:tcW w:type="dxa" w:w="1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24%</w:t>
            </w:r>
          </w:p>
        </w:tc>
        <w:tc>
          <w:tcPr>
            <w:tcW w:type="dxa" w:w="23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H1–H9</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Cost-optimized architectures</w:t>
            </w:r>
          </w:p>
        </w:tc>
        <w:tc>
          <w:tcPr>
            <w:tcW w:type="dxa" w:w="1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3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C1–C8, 12 F1</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5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In-scope ML/AI services (positioning)</w:t>
            </w:r>
          </w:p>
        </w:tc>
        <w:tc>
          <w:tcPr>
            <w:tcW w:type="dxa" w:w="1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3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M4</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pStyle w:val="Heading2"/>
      </w:pPr>
      <w:r>
        <w:t xml:space="preserve">Well-Architected frameworks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70"/>
        <w:gridCol w:w="1849"/>
        <w:gridCol w:w="3061"/>
      </w:tblGrid>
      <w:tr>
        <w:trPr>
          <w:cantSplit/>
          <w:tblHeader/>
        </w:trPr>
        <w:tc>
          <w:tcPr>
            <w:tcW w:type="dxa" w:w="51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Framework</w:t>
            </w:r>
          </w:p>
        </w:tc>
        <w:tc>
          <w:tcPr>
            <w:tcW w:type="dxa" w:w="18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c>
          <w:tcPr>
            <w:tcW w:type="dxa" w:w="306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Status</w:t>
            </w:r>
          </w:p>
        </w:tc>
      </w:tr>
      <w:tr>
        <w:trPr>
          <w:cantSplit/>
        </w:trPr>
        <w:tc>
          <w:tcPr>
            <w:tcW w:type="dxa" w:w="51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(six pillars + Serverless, Generative AI, FSI lenses)</w:t>
            </w:r>
          </w:p>
        </w:tc>
        <w:tc>
          <w:tcPr>
            <w:tcW w:type="dxa" w:w="1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 §2, labs tagged in 10</w:t>
            </w:r>
          </w:p>
        </w:tc>
        <w:tc>
          <w:tcPr>
            <w:tcW w:type="dxa" w:w="30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51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(Trust, Reliability, Operational Excellence, Resource &amp; Cost Optimization, Fairness + Agentic Enterprise lens)</w:t>
            </w:r>
          </w:p>
        </w:tc>
        <w:tc>
          <w:tcPr>
            <w:tcW w:type="dxa" w:w="1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 §3; labs tagged in 08/09</w:t>
            </w:r>
          </w:p>
        </w:tc>
        <w:tc>
          <w:tcPr>
            <w:tcW w:type="dxa" w:w="30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(checklist is the author's; extend it from the official pillar guides)</w:t>
            </w:r>
          </w:p>
        </w:tc>
      </w:tr>
    </w:tbl>
    <w:p>
      <w:pPr>
        <w:spacing w:after="120"/>
      </w:pPr>
    </w:p>
    <w:p>
      <w:pPr>
        <w:spacing w:after="120"/>
      </w:pPr>
      <w:r>
        <w:t xml:space="preserve">Optional next credentials that the programme already prepares you for: Agentforce Specialist (07, 08 G, 12 S, now 16); MuleSoft Platform/Integration Architect (06, 07). The Salesforce architect credentials are mapped in §7.3. Salesforce's Summer '26 maintenance modules for MuleSoft architects cover recent Omni Gateway and agent topics.</w:t>
      </w:r>
    </w:p>
    <w:p>
      <w:pPr>
        <w:pBdr>
          <w:bottom w:val="single" w:color="BFBFBF" w:sz="6" w:space="1"/>
        </w:pBdr>
        <w:spacing w:after="120" w:before="120"/>
      </w:pPr>
    </w:p>
    <w:p>
      <w:pPr>
        <w:pStyle w:val="Heading1"/>
      </w:pPr>
      <w:bookmarkStart w:name="s5" w:id="5"/>
      <w:r>
        <w:t xml:space="preserve">5. Still marked ⚠ — confirm in the console when you get there</w:t>
      </w:r>
      <w:bookmarkEnd w:id="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5"/>
        <w:gridCol w:w="944"/>
        <w:gridCol w:w="4831"/>
      </w:tblGrid>
      <w:tr>
        <w:trPr>
          <w:cantSplit/>
          <w:tblHeader/>
        </w:trPr>
        <w:tc>
          <w:tcPr>
            <w:tcW w:type="dxa" w:w="43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Item</w:t>
            </w:r>
          </w:p>
        </w:tc>
        <w:tc>
          <w:tcPr>
            <w:tcW w:type="dxa" w:w="94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c>
          <w:tcPr>
            <w:tcW w:type="dxa" w:w="48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it couldn't be confirmed here</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Number of custom authorization servers allowed on the Integrator plan</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01 §2</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Not stated in Okta's org-defaults page; fallback (single server) documented</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 Relays page in Setup</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03 0.8</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Docs describe the API route; UI availability varies</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Integration and Platform licence counts in Developer Edition</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03 0.2, 08</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Varies by org; check Company Information</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permission set names; S3 connector auth options</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04, 09</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Labels change across releases</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CLI flag names for the JWT authorizer (discovery URL, audience, clients)</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07 0.4</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CLI reference documents the concept and </w:t>
            </w:r>
            <w:r>
              <w:rPr>
                <w:rFonts w:ascii="Consolas" w:cs="Consolas" w:eastAsia="Consolas" w:hAnsi="Consolas"/>
                <w:b w:val="false"/>
                <w:bCs w:val="false"/>
                <w:sz w:val="16"/>
                <w:szCs w:val="16"/>
                <w:shd w:fill="EEF0F3" w:color="auto" w:val="clear"/>
              </w:rPr>
              <w:t xml:space="preserve">--bearer-token</w:t>
            </w:r>
            <w:r>
              <w:rPr>
                <w:b w:val="false"/>
                <w:bCs w:val="false"/>
                <w:sz w:val="17"/>
                <w:szCs w:val="17"/>
              </w:rPr>
              <w:t xml:space="preserve">, not those flag names; use </w:t>
            </w:r>
            <w:r>
              <w:rPr>
                <w:rFonts w:ascii="Consolas" w:cs="Consolas" w:eastAsia="Consolas" w:hAnsi="Consolas"/>
                <w:b w:val="false"/>
                <w:bCs w:val="false"/>
                <w:sz w:val="16"/>
                <w:szCs w:val="16"/>
                <w:shd w:fill="EEF0F3" w:color="auto" w:val="clear"/>
              </w:rPr>
              <w:t xml:space="preserve">agentcore add agent --help</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invocation URL for the ops portal</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07 0.5</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 the console or </w:t>
            </w:r>
            <w:r>
              <w:rPr>
                <w:rFonts w:ascii="Consolas" w:cs="Consolas" w:eastAsia="Consolas" w:hAnsi="Consolas"/>
                <w:b w:val="false"/>
                <w:bCs w:val="false"/>
                <w:sz w:val="16"/>
                <w:szCs w:val="16"/>
                <w:shd w:fill="EEF0F3" w:color="auto" w:val="clear"/>
              </w:rPr>
              <w:t xml:space="preserve">agentcore fetch</w:t>
            </w:r>
            <w:r>
              <w:rPr>
                <w:b w:val="false"/>
                <w:bCs w:val="false"/>
                <w:sz w:val="17"/>
                <w:szCs w:val="17"/>
              </w:rPr>
              <w:t xml:space="preserve"> output</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CloudHub 2.0 Canada region; Mule OpenTelemetry export</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Entitlement- and version-dependent</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OIDC IdP field labels; Omni Gateway registration image/command names</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Copy exactly from the console</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MCP authentication configuration</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07 0.6</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Overview material doesn't describe it</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Scratch-org feature names (MultiCurrency, PersonAccounts, Entitlements, Knowledge)</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§2</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the Scratch Org Features list</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AL2023 package repos via the S3 gateway endpoint</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02 0.6</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Behaviour depends on the AMI and endpoint policy</w:t>
            </w:r>
          </w:p>
        </w:tc>
      </w:tr>
      <w:tr>
        <w:trPr>
          <w:cantSplit/>
        </w:trPr>
        <w:tc>
          <w:tcPr>
            <w:tcW w:type="dxa" w:w="43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exam weightings and passing score</w:t>
            </w:r>
          </w:p>
        </w:tc>
        <w:tc>
          <w:tcPr>
            <w:tcW w:type="dxa" w:w="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09</w:t>
            </w:r>
          </w:p>
        </w:tc>
        <w:tc>
          <w:tcPr>
            <w:tcW w:type="dxa" w:w="48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From third-party guides; confirm in the official exam guide</w:t>
            </w:r>
          </w:p>
        </w:tc>
      </w:tr>
    </w:tbl>
    <w:p>
      <w:pPr>
        <w:spacing w:after="120"/>
      </w:pPr>
    </w:p>
    <w:p>
      <w:pPr>
        <w:pBdr>
          <w:bottom w:val="single" w:color="BFBFBF" w:sz="6" w:space="1"/>
        </w:pBdr>
        <w:spacing w:after="120" w:before="120"/>
      </w:pPr>
    </w:p>
    <w:p>
      <w:pPr>
        <w:pStyle w:val="Heading1"/>
      </w:pPr>
      <w:bookmarkStart w:name="s6" w:id="6"/>
      <w:r>
        <w:t xml:space="preserve">6. How to keep this accurate</w:t>
      </w:r>
      <w:bookmarkEnd w:id="6"/>
    </w:p>
    <w:p>
      <w:pPr>
        <w:spacing w:after="120"/>
      </w:pPr>
      <w:r>
        <w:t xml:space="preserve">Re-run the checks whenever you edit a guide: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pip install pyyaml python-hcl2                      # once</w:t>
      </w:r>
    </w:p>
    <w:p>
      <w:pPr>
        <w:pStyle w:val="Code"/>
        <w:shd w:fill="F3F4F6" w:color="auto" w:val="clear"/>
        <w:spacing w:after="0" w:before="0"/>
        <w:ind w:left="0"/>
      </w:pPr>
      <w:r>
        <w:rPr>
          <w:rFonts w:ascii="Consolas" w:cs="Consolas" w:eastAsia="Consolas" w:hAnsi="Consolas"/>
        </w:rPr>
        <w:t xml:space="preserve">npm install mermaid jsdom                           # once, in the repo root</w:t>
      </w:r>
    </w:p>
    <w:p>
      <w:pPr>
        <w:pStyle w:val="Code"/>
        <w:shd w:fill="F3F4F6" w:color="auto" w:val="clear"/>
        <w:spacing w:after="0" w:before="0"/>
        <w:ind w:left="0"/>
      </w:pPr>
      <w:r>
        <w:rPr>
          <w:rFonts w:ascii="Consolas" w:cs="Consolas" w:eastAsia="Consolas" w:hAnsi="Consolas"/>
        </w:rPr>
        <w:t xml:space="preserve">python3 scripts/check_blocks.py .                   # syntax-checks every fenced code block by language</w:t>
      </w:r>
    </w:p>
    <w:p>
      <w:pPr>
        <w:pStyle w:val="Code"/>
        <w:shd w:fill="F3F4F6" w:color="auto" w:val="clear"/>
        <w:spacing w:after="160" w:before="0"/>
        <w:ind w:left="0"/>
      </w:pPr>
      <w:r>
        <w:rPr>
          <w:rFonts w:ascii="Consolas" w:cs="Consolas" w:eastAsia="Consolas" w:hAnsi="Consolas"/>
        </w:rPr>
        <w:t xml:space="preserve">python3 diagrams/generate.py &amp;&amp; node scripts/check-mermaid.mjs diagrams/mermaid/*.mmd *.md</w:t>
      </w:r>
    </w:p>
    <w:p>
      <w:pPr>
        <w:spacing w:after="120"/>
      </w:pPr>
      <w:r>
        <w:rPr>
          <w:rFonts w:ascii="Consolas" w:cs="Consolas" w:eastAsia="Consolas" w:hAnsi="Consolas"/>
          <w:sz w:val="19"/>
          <w:szCs w:val="19"/>
          <w:shd w:fill="EEF0F3" w:color="auto" w:val="clear"/>
        </w:rPr>
        <w:t xml:space="preserve">check_blocks.py</w:t>
      </w:r>
      <w:r>
        <w:t xml:space="preserve"> adds a rule for Terraform's single-line-block restriction (python-hcl2 alone is lenient); </w:t>
      </w:r>
      <w:r>
        <w:rPr>
          <w:rFonts w:ascii="Consolas" w:cs="Consolas" w:eastAsia="Consolas" w:hAnsi="Consolas"/>
          <w:sz w:val="19"/>
          <w:szCs w:val="19"/>
          <w:shd w:fill="EEF0F3" w:color="auto" w:val="clear"/>
        </w:rPr>
        <w:t xml:space="preserve">terraform validate</w:t>
      </w:r>
      <w:r>
        <w:t xml:space="preserve"> locally remains the definitive check.</w:t>
      </w:r>
    </w:p>
    <w:p>
      <w:pPr>
        <w:spacing w:after="120"/>
      </w:pPr>
      <w:r>
        <w:t xml:space="preserve">Word versions of the guides come from </w:t>
      </w:r>
      <w:r>
        <w:rPr>
          <w:rFonts w:ascii="Consolas" w:cs="Consolas" w:eastAsia="Consolas" w:hAnsi="Consolas"/>
          <w:sz w:val="19"/>
          <w:szCs w:val="19"/>
          <w:shd w:fill="EEF0F3" w:color="auto" w:val="clear"/>
        </w:rPr>
        <w:t xml:space="preserve">scripts/md2docx.js</w:t>
      </w:r>
      <w:r>
        <w:t xml:space="preserve"> (setup and options are in its header): </w:t>
      </w:r>
      <w:r>
        <w:rPr>
          <w:rFonts w:ascii="Consolas" w:cs="Consolas" w:eastAsia="Consolas" w:hAnsi="Consolas"/>
          <w:sz w:val="19"/>
          <w:szCs w:val="19"/>
          <w:shd w:fill="EEF0F3" w:color="auto" w:val="clear"/>
        </w:rPr>
        <w:t xml:space="preserve">node scripts/md2docx.js 13-integrated-platform-mortgage-lifecycle-broker-channel.md out/13.docx .diagram-cache</w:t>
      </w:r>
      <w:r>
        <w:t xml:space="preserve">. Regenerate a guide's Word file whenever you edit the Markdown, which stays the source.</w:t>
      </w:r>
    </w:p>
    <w:p>
      <w:pPr>
        <w:spacing w:after="120"/>
      </w:pPr>
      <w:r>
        <w:t xml:space="preserve">Before each phase, skim the vendor release notes for the platforms that phase touches (Okta, AWS What's New, Salesforce release notes, MuleSoft release notes). Record anything that changes a step here with a date and source, the way this log does.</w:t>
      </w:r>
    </w:p>
    <w:p>
      <w:pPr>
        <w:pBdr>
          <w:bottom w:val="single" w:color="BFBFBF" w:sz="6" w:space="1"/>
        </w:pBdr>
        <w:spacing w:after="120" w:before="120"/>
      </w:pPr>
    </w:p>
    <w:p>
      <w:pPr>
        <w:pStyle w:val="Heading1"/>
      </w:pPr>
      <w:bookmarkStart w:name="s7" w:id="7"/>
      <w:r>
        <w:t xml:space="preserve">7. Extension review — Project 13 and Modules 14–16 (October 18, 2026)</w:t>
      </w:r>
      <w:bookmarkEnd w:id="7"/>
    </w:p>
    <w:p>
      <w:pPr>
        <w:spacing w:after="120"/>
      </w:pPr>
      <w:r>
        <w:t xml:space="preserve">The extension adds the integration inventory and storyline, the cross-system onboarding saga and B2B lane (13), Salesforce data architecture (14), security and identity architecture (15), and conversational AI with the Agentforce agent family (16). Checks run: every new Python, JSON, HCL, YAML and XML block passes </w:t>
      </w:r>
      <w:r>
        <w:rPr>
          <w:rFonts w:ascii="Consolas" w:cs="Consolas" w:eastAsia="Consolas" w:hAnsi="Consolas"/>
          <w:sz w:val="19"/>
          <w:szCs w:val="19"/>
          <w:shd w:fill="EEF0F3" w:color="auto" w:val="clear"/>
        </w:rPr>
        <w:t xml:space="preserve">check_blocks.py</w:t>
      </w:r>
      <w:r>
        <w:t xml:space="preserve">; all 21 Mermaid files and 10 embedded diagrams parse; all 15 draw.io files are well-formed; diagram specs have no dangling edges or ID clashes. The 11 new Apex blocks were reviewed by hand but </w:t>
      </w:r>
      <w:r>
        <w:rPr>
          <w:b/>
          <w:bCs/>
        </w:rPr>
        <w:t xml:space="preserve">not compiled</w:t>
      </w:r>
      <w:r>
        <w:t xml:space="preserve"> — deploy them to a scratch org and run the tests before relying on them.</w:t>
      </w:r>
    </w:p>
    <w:p>
      <w:pPr>
        <w:pStyle w:val="Heading2"/>
      </w:pPr>
      <w:r>
        <w:t xml:space="preserve">7.1 Facts verified for the new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34"/>
        <w:gridCol w:w="1205"/>
        <w:gridCol w:w="3141"/>
      </w:tblGrid>
      <w:tr>
        <w:trPr>
          <w:cantSplit/>
          <w:tblHeader/>
        </w:trPr>
        <w:tc>
          <w:tcPr>
            <w:tcW w:type="dxa" w:w="5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Claim</w:t>
            </w:r>
          </w:p>
        </w:tc>
        <w:tc>
          <w:tcPr>
            <w:tcW w:type="dxa" w:w="12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 in</w:t>
            </w:r>
          </w:p>
        </w:tc>
        <w:tc>
          <w:tcPr>
            <w:tcW w:type="dxa" w:w="314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Legacy Chat became inaccessible on February 14, 2026; the replacement is Messaging for In-App and Web</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§0, CH1</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Ben, </w:t>
            </w:r>
            <w:r>
              <w:rPr>
                <w:b w:val="false"/>
                <w:bCs w:val="false"/>
                <w:i/>
                <w:iCs/>
                <w:sz w:val="17"/>
                <w:szCs w:val="17"/>
              </w:rPr>
              <w:t xml:space="preserve">Salesforce to retire Chat</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new Agentforce has been GA since February 2026; Agentforce Builder with Agent Script (hybrid reasoning); </w:t>
            </w:r>
            <w:r>
              <w:rPr>
                <w:b w:val="false"/>
                <w:bCs w:val="false"/>
                <w:i/>
                <w:iCs/>
                <w:sz w:val="17"/>
                <w:szCs w:val="17"/>
              </w:rPr>
              <w:t xml:space="preserve">subagents</w:t>
            </w:r>
            <w:r>
              <w:rPr>
                <w:b w:val="false"/>
                <w:bCs w:val="false"/>
                <w:sz w:val="17"/>
                <w:szCs w:val="17"/>
              </w:rPr>
              <w:t xml:space="preserve"> formerly called topics; gates closed by default, never set by the model, auth checks before reasoning</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CH3, 15 AI4, 07, 08, 12</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Architects, </w:t>
            </w:r>
            <w:r>
              <w:rPr>
                <w:b w:val="false"/>
                <w:bCs w:val="false"/>
                <w:i/>
                <w:iCs/>
                <w:sz w:val="17"/>
                <w:szCs w:val="17"/>
              </w:rPr>
              <w:t xml:space="preserve">Hybrid reasoning with Agentforce Builder and Agent Script</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legacy builder's </w:t>
            </w:r>
            <w:r>
              <w:rPr>
                <w:b/>
                <w:bCs/>
                <w:sz w:val="17"/>
                <w:szCs w:val="17"/>
              </w:rPr>
              <w:t xml:space="preserve">New Agent</w:t>
            </w:r>
            <w:r>
              <w:rPr>
                <w:b w:val="false"/>
                <w:bCs w:val="false"/>
                <w:sz w:val="17"/>
                <w:szCs w:val="17"/>
              </w:rPr>
              <w:t xml:space="preserve"> button was removed from the week of July 13, 2026; existing agents keep running and can be upgraded</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07, 16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upgrade guide ⚠</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Einstein Bots have no announced retirement; Agentforce service agents run only on enhanced messaging channels, routed by Omni-Channel with a fallback queue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§0, CH1–CH3</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migration guide; Salesforce Agentforce workshop</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Dreamforce 2026 (September 15–17): job-ready agents Casey, Paige, Carter, Marshall, Piper, Fin, Hunter; Agentforce Coworker; multi-agent orchestration; Agent Optimizer; Agent Health Monitoring; Custom Scorers; voice and conversation testing (beta); A/B experimentation (beta); Agentforce Voice in Canadian French; an Einstein Bot upgrade agent</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21 Things We Announced at Dreamforce 2026</w:t>
            </w:r>
            <w:r>
              <w:rPr>
                <w:b w:val="false"/>
                <w:bCs w:val="false"/>
                <w:sz w:val="17"/>
                <w:szCs w:val="17"/>
              </w:rPr>
              <w:t xml:space="preserve">; event recaps (availability varies)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API: External Client App with client credentials and JWT-based tokens; scopes </w:t>
            </w:r>
            <w:r>
              <w:rPr>
                <w:rFonts w:ascii="Consolas" w:cs="Consolas" w:eastAsia="Consolas" w:hAnsi="Consolas"/>
                <w:b w:val="false"/>
                <w:bCs w:val="false"/>
                <w:sz w:val="16"/>
                <w:szCs w:val="16"/>
                <w:shd w:fill="EEF0F3" w:color="auto" w:val="clear"/>
              </w:rPr>
              <w:t xml:space="preserve">api</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refresh_token offline_access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chatbot_api</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sfap_api</w:t>
            </w:r>
            <w:r>
              <w:rPr>
                <w:b w:val="false"/>
                <w:bCs w:val="false"/>
                <w:sz w:val="17"/>
                <w:szCs w:val="17"/>
              </w:rPr>
              <w:t xml:space="preserve">; base URL </w:t>
            </w:r>
            <w:r>
              <w:rPr>
                <w:rFonts w:ascii="Consolas" w:cs="Consolas" w:eastAsia="Consolas" w:hAnsi="Consolas"/>
                <w:b w:val="false"/>
                <w:bCs w:val="false"/>
                <w:sz w:val="16"/>
                <w:szCs w:val="16"/>
                <w:shd w:fill="EEF0F3" w:color="auto" w:val="clear"/>
              </w:rPr>
              <w:t xml:space="preserve">api.salesforce.com</w:t>
            </w:r>
            <w:r>
              <w:rPr>
                <w:b w:val="false"/>
                <w:bCs w:val="false"/>
                <w:sz w:val="17"/>
                <w:szCs w:val="17"/>
              </w:rPr>
              <w:t xml:space="preserve">; session and message endpoints; not supported for </w:t>
            </w:r>
            <w:r>
              <w:rPr>
                <w:b w:val="false"/>
                <w:bCs w:val="false"/>
                <w:i/>
                <w:iCs/>
                <w:sz w:val="17"/>
                <w:szCs w:val="17"/>
              </w:rPr>
              <w:t xml:space="preserve">Agentforce (Default)</w:t>
            </w:r>
            <w:r>
              <w:rPr>
                <w:b w:val="false"/>
                <w:bCs w:val="false"/>
                <w:sz w:val="17"/>
                <w:szCs w:val="17"/>
              </w:rPr>
              <w:t xml:space="preserve"> agents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CH7</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val="false"/>
                <w:bCs w:val="false"/>
                <w:i/>
                <w:iCs/>
                <w:sz w:val="17"/>
                <w:szCs w:val="17"/>
              </w:rPr>
              <w:t xml:space="preserve">Get Started with the Agent API</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agents execute actions as the agent's identity (employee agents as the user); private actions must take a verified customer ID assigned as a variable, never record IDs from the model; </w:t>
            </w:r>
            <w:r>
              <w:rPr>
                <w:rFonts w:ascii="Consolas" w:cs="Consolas" w:eastAsia="Consolas" w:hAnsi="Consolas"/>
                <w:b w:val="false"/>
                <w:bCs w:val="false"/>
                <w:sz w:val="16"/>
                <w:szCs w:val="16"/>
                <w:shd w:fill="EEF0F3" w:color="auto" w:val="clear"/>
              </w:rPr>
              <w:t xml:space="preserve">isConfirmationRequired</w:t>
            </w:r>
            <w:r>
              <w:rPr>
                <w:b w:val="false"/>
                <w:bCs w:val="false"/>
                <w:sz w:val="17"/>
                <w:szCs w:val="17"/>
              </w:rPr>
              <w:t xml:space="preserve"> for changes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§9, 16 CH4, 12 S1</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val="false"/>
                <w:bCs w:val="false"/>
                <w:i/>
                <w:iCs/>
                <w:sz w:val="17"/>
                <w:szCs w:val="17"/>
              </w:rPr>
              <w:t xml:space="preserve">Secure Your Agentforce Custom Actions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Einstein Trust Layer data masking was disabled for Agentforce agents in 2024; it still applies to Prompt Builder templates and some features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AI1, 08 G2</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on LLM data masking (June 2025)</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 Edition data storage is 5 MB; scratch orgs get 500 MB data and 50 MB files; a Developer Edition Dev Hub allows 3 active and 6 daily scratch orgs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00, 14</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API and DX documentation</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Shield Platform Encryption can be tried at no charge in Developer Edition; unique and External ID fields need deterministic encryption; Account Contact Relationship fields can't be encrypted; 50 undestroyed keys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SH1</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Platform Encryption implementation guide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 Event Monitoring: core event types (Login, Logout, API Total Usage, …), daily, 1-day retention; Real-Time Event Monitoring and Transaction Security need the add-on</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SH2–SH3</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Trailhead, </w:t>
            </w:r>
            <w:r>
              <w:rPr>
                <w:b w:val="false"/>
                <w:bCs w:val="false"/>
                <w:i/>
                <w:iCs/>
                <w:sz w:val="17"/>
                <w:szCs w:val="17"/>
              </w:rPr>
              <w:t xml:space="preserve">Event Monitoring basics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Big objects: 1 million records included (Developer Edition too); Async SOQL retired in Summer '23</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DM7</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Gearset (vendor blog) and Salesforce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Deferred sharing calculation is enabled by contacting Salesforce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MG4</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defer-sharing tip sheet</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Skew: keep parents under 10,000 children; give an unavoidable skewed owner no role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DM4</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Trailhead, </w:t>
            </w:r>
            <w:r>
              <w:rPr>
                <w:b w:val="false"/>
                <w:bCs w:val="false"/>
                <w:i/>
                <w:iCs/>
                <w:sz w:val="17"/>
                <w:szCs w:val="17"/>
              </w:rPr>
              <w:t xml:space="preserve">Large Data Volumes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Bulk API 2.0: 150 million records per 24 h, 150 MB per upload, 15,000 batches a day shared with Bulk API 1.0</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MG1</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Bulk API 2.0 guide (older version — re-check the limits cheat sheet ⚠)</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sf data import/upsert/export bulk</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sf data bulk results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MG5–MG6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DX guide, </w:t>
            </w:r>
            <w:r>
              <w:rPr>
                <w:b w:val="false"/>
                <w:bCs w:val="false"/>
                <w:i/>
                <w:iCs/>
                <w:sz w:val="17"/>
                <w:szCs w:val="17"/>
              </w:rPr>
              <w:t xml:space="preserve">Work with large datasets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Workflow Rules and Process Builder lost support on December 31, 2025; Migrate to Flow</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MG9</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Ben</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User Access Policies GA since Summer '24</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SV5</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Ben</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Auth.SessionManagement.generateVerificationUrl(Auth.VerificationPolicy.HIGH_ASSURANCE, …)</w:t>
            </w:r>
            <w:r>
              <w:rPr>
                <w:b w:val="false"/>
                <w:bCs w:val="false"/>
                <w:sz w:val="17"/>
                <w:szCs w:val="17"/>
              </w:rPr>
              <w:t xml:space="preserve">; the destination must re-check the session level</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IA3</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reference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OAuth 2.0 token exchange via </w:t>
            </w:r>
            <w:r>
              <w:rPr>
                <w:rFonts w:ascii="Consolas" w:cs="Consolas" w:eastAsia="Consolas" w:hAnsi="Consolas"/>
                <w:b w:val="false"/>
                <w:bCs w:val="false"/>
                <w:sz w:val="16"/>
                <w:szCs w:val="16"/>
                <w:shd w:fill="EEF0F3" w:color="auto" w:val="clear"/>
              </w:rPr>
              <w:t xml:space="preserve">Auth.Oauth2TokenExchangeHandler</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developer guide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Credentials support AWS Signature v4 including </w:t>
            </w:r>
            <w:r>
              <w:rPr>
                <w:b w:val="false"/>
                <w:bCs w:val="false"/>
                <w:i/>
                <w:iCs/>
                <w:sz w:val="17"/>
                <w:szCs w:val="17"/>
              </w:rPr>
              <w:t xml:space="preserve">STS Roles Anywhere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IA7</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Named Credentials developer guide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Messaging user verification uses JSON Web Keys in a keyset to verify a JWT</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IA5</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Trailhead, </w:t>
            </w:r>
            <w:r>
              <w:rPr>
                <w:b w:val="false"/>
                <w:bCs w:val="false"/>
                <w:i/>
                <w:iCs/>
                <w:sz w:val="17"/>
                <w:szCs w:val="17"/>
              </w:rPr>
              <w:t xml:space="preserve">Messaging optimization for In-App and Web</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 Analyzer v5: </w:t>
            </w:r>
            <w:r>
              <w:rPr>
                <w:rFonts w:ascii="Consolas" w:cs="Consolas" w:eastAsia="Consolas" w:hAnsi="Consolas"/>
                <w:b w:val="false"/>
                <w:bCs w:val="false"/>
                <w:sz w:val="16"/>
                <w:szCs w:val="16"/>
                <w:shd w:fill="EEF0F3" w:color="auto" w:val="clear"/>
              </w:rPr>
              <w:t xml:space="preserve">sf code-analyzer run --rule-selector … --severity-threshold … --output-file …sarif</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CLI reference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FSC on the core platform uses standard objects (Financial Account, Party Relationship Group, …); don't mix with the managed package</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MG8</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Atrium (partner), Salesforce architect diagrams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Compliant Data Sharing: participants and participant roles on supported objects, writes to share tables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MG8, 15 SV2</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Architects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CPQ is end-of-sale (not end-of-life); Revenue Cloud Advanced is the successor</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B3</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account unification: Account DMO, Party Identification, Unified Account segmentation</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B8</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Ben</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Quebec Law 25: PIA before communicating personal information outside Quebec (s. 17), privacy by default (s. 9.1), automated-decision notice (s. 12.1)</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14 GV3</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McCarthy Tétrault</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CASL: express vs implied consent (2 years / 6 months after an inquiry), unsubscribe within 10 business days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GV3, 16 CH6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Government of Canada (fightspam.gc.ca)</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OSFI Guideline E-23 final September 11, 2025, effective May 1, 2027, covers AI and vendor models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GV8, 16 CH10</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Blakes</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trace deletion (by ID, batch, by user); AgentCore Memory </w:t>
            </w:r>
            <w:r>
              <w:rPr>
                <w:rFonts w:ascii="Consolas" w:cs="Consolas" w:eastAsia="Consolas" w:hAnsi="Consolas"/>
                <w:b w:val="false"/>
                <w:bCs w:val="false"/>
                <w:sz w:val="16"/>
                <w:szCs w:val="16"/>
                <w:shd w:fill="EEF0F3" w:color="auto" w:val="clear"/>
              </w:rPr>
              <w:t xml:space="preserve">DeleteEvent</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GV4</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docs; AWS AgentCore API reference</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Transfer Family: about $0.30 per endpoint-hour plus $0.04/GB (us-east-1)</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B9</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pricing</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Flex Credits ($500 per 100k; 20 credits per action), $2 per conversation, $125/user add-ons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CH11</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pricing summary, July 2026 ⚠</w:t>
            </w:r>
          </w:p>
        </w:tc>
      </w:tr>
      <w:tr>
        <w:trPr>
          <w:cantSplit/>
        </w:trPr>
        <w:tc>
          <w:tcPr>
            <w:tcW w:type="dxa" w:w="5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Slack Developer Program: up to 10 free Enterprise Grid sandboxes</w:t>
            </w:r>
          </w:p>
        </w:tc>
        <w:tc>
          <w:tcPr>
            <w:tcW w:type="dxa" w:w="12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 16 CH6</w:t>
            </w:r>
          </w:p>
        </w:tc>
        <w:tc>
          <w:tcPr>
            <w:tcW w:type="dxa" w:w="31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Slack blog</w:t>
            </w:r>
          </w:p>
        </w:tc>
      </w:tr>
    </w:tbl>
    <w:p>
      <w:pPr>
        <w:spacing w:after="120"/>
      </w:pPr>
    </w:p>
    <w:p>
      <w:pPr>
        <w:pStyle w:val="Heading2"/>
      </w:pPr>
      <w:r>
        <w:t xml:space="preserve">7.2 Corrections made to earlier guides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30"/>
        <w:gridCol w:w="1626"/>
        <w:gridCol w:w="4161"/>
        <w:gridCol w:w="3763"/>
      </w:tblGrid>
      <w:tr>
        <w:trPr>
          <w:cantSplit/>
          <w:tblHeader/>
        </w:trPr>
        <w:tc>
          <w:tcPr>
            <w:tcW w:type="dxa" w:w="5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416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Problem</w:t>
            </w:r>
          </w:p>
        </w:tc>
        <w:tc>
          <w:tcPr>
            <w:tcW w:type="dxa" w:w="37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S1</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Said service agents for external users "run with the external user's sharing". Service agents execute actions as the agent's identity</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Rewritten: actions scope data to the verified customer; points to Module 15 §9 and Module 16 CH4</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setup 0.6 step 7</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Created the agent through Setup → Agentforce Agents → New Agent, with topics</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Note on Agentforce Builder, Agent Script and subagents; the legacy New Agent button is gone (reported)</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E3</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G2–G3</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Implied Trust Layer masking protects agents; used "Agent Builder"</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Masking caveat; Agentforce Builder and subagents</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E4</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12, diagram 03</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Client Portal" named two different apps</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workload renamed </w:t>
            </w:r>
            <w:r>
              <w:rPr>
                <w:b/>
                <w:bCs/>
                <w:sz w:val="17"/>
                <w:szCs w:val="17"/>
              </w:rPr>
              <w:t xml:space="preserve">Apex Documents Service</w:t>
            </w:r>
            <w:r>
              <w:rPr>
                <w:b w:val="false"/>
                <w:bCs w:val="false"/>
                <w:sz w:val="17"/>
                <w:szCs w:val="17"/>
              </w:rPr>
              <w:t xml:space="preserve">; Cognito is the single client IdP (ADR-031)</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E5</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diagrams/generate.py</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Diagram 02 had an edge to a node that didn't exist (silently dropped)</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Replaced with an Organizations → roles (SCPs) edge</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E6</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Header, timeline, programme table, coverage matrix, accounts, repo tree and resume bullets didn't include the extension</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Updated (Phase 6, weeks 35–51)</w:t>
            </w:r>
          </w:p>
        </w:tc>
      </w:tr>
      <w:tr>
        <w:trPr>
          <w:cantSplit/>
        </w:trPr>
        <w:tc>
          <w:tcPr>
            <w:tcW w:type="dxa" w:w="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E7</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w:t>
            </w:r>
          </w:p>
        </w:tc>
        <w:tc>
          <w:tcPr>
            <w:tcW w:type="dxa" w:w="41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Review schedule ended at R5</w:t>
            </w:r>
          </w:p>
        </w:tc>
        <w:tc>
          <w:tcPr>
            <w:tcW w:type="dxa" w:w="3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R6 added for Phase 6</w:t>
            </w:r>
          </w:p>
        </w:tc>
      </w:tr>
    </w:tbl>
    <w:p>
      <w:pPr>
        <w:spacing w:after="120"/>
      </w:pPr>
    </w:p>
    <w:p>
      <w:pPr>
        <w:pStyle w:val="Heading2"/>
      </w:pPr>
      <w:r>
        <w:t xml:space="preserve">7.3 Optional Salesforce architect credentials — coverage</w:t>
      </w:r>
    </w:p>
    <w:p>
      <w:pPr>
        <w:spacing w:after="120"/>
      </w:pPr>
      <w:r>
        <w:t xml:space="preserve">Formats and weightings come from third-party study guides; confirm on Trailhead before booking ⚠.</w:t>
      </w:r>
    </w:p>
    <w:p>
      <w:pPr>
        <w:spacing w:after="120"/>
      </w:pPr>
      <w:r>
        <w:rPr>
          <w:b/>
          <w:bCs/>
        </w:rPr>
        <w:t xml:space="preserve">Platform Integration Architect</w:t>
      </w:r>
      <w:r>
        <w:t xml:space="preserve"> (60 questions, 105 min, 67%)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9"/>
        <w:gridCol w:w="1186"/>
        <w:gridCol w:w="4505"/>
      </w:tblGrid>
      <w:tr>
        <w:trPr>
          <w:cantSplit/>
          <w:tblHeader/>
        </w:trPr>
        <w:tc>
          <w:tcPr>
            <w:tcW w:type="dxa" w:w="438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1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4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Evaluate the current system landscape</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§2.1–2.2</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Evaluate business needs</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§4.1, 14 DM3 (classification)</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Translate needs to integration requirements</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22%</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§2.2 inventory</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 integration solutions</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28%</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§2.3–2.5, 06, 07, 14 DM6</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Build solution</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23%</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§4, 06, 03 (ECAs, Named Credentials)</w:t>
            </w:r>
          </w:p>
        </w:tc>
      </w:tr>
      <w:tr>
        <w:trPr>
          <w:cantSplit/>
        </w:trPr>
        <w:tc>
          <w:tcPr>
            <w:tcW w:type="dxa" w:w="438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Maintain integration</w:t>
            </w:r>
          </w:p>
        </w:tc>
        <w:tc>
          <w:tcPr>
            <w:tcW w:type="dxa" w:w="11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45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§2.6, §4.9–4.10, 15 SH2</w:t>
            </w:r>
          </w:p>
        </w:tc>
      </w:tr>
    </w:tbl>
    <w:p>
      <w:pPr>
        <w:spacing w:after="120"/>
      </w:pPr>
    </w:p>
    <w:p>
      <w:pPr>
        <w:spacing w:after="120"/>
      </w:pPr>
      <w:r>
        <w:rPr>
          <w:b/>
          <w:bCs/>
        </w:rPr>
        <w:t xml:space="preserve">Platform Data Architect</w:t>
      </w:r>
      <w:r>
        <w:t xml:space="preserve"> (60 + up to 5 unscored, 105 min, 58%)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43"/>
        <w:gridCol w:w="1462"/>
        <w:gridCol w:w="3175"/>
      </w:tblGrid>
      <w:tr>
        <w:trPr>
          <w:cantSplit/>
          <w:tblHeader/>
        </w:trPr>
        <w:tc>
          <w:tcPr>
            <w:tcW w:type="dxa" w:w="54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4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317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modeling / database design</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25%</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DM1–DM4, DM7</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data management</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25%</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DQ1–DQ3, 13 B8</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Large data volume considerations</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DM5, DM6, DM8</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migration</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MG1–MG9</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governance</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GV1–GV8</w:t>
            </w:r>
          </w:p>
        </w:tc>
      </w:tr>
      <w:tr>
        <w:trPr>
          <w:cantSplit/>
        </w:trPr>
        <w:tc>
          <w:tcPr>
            <w:tcW w:type="dxa" w:w="54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 data management</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MD1–MD3</w:t>
            </w:r>
          </w:p>
        </w:tc>
      </w:tr>
    </w:tbl>
    <w:p>
      <w:pPr>
        <w:spacing w:after="120"/>
      </w:pPr>
    </w:p>
    <w:p>
      <w:pPr>
        <w:spacing w:after="120"/>
      </w:pPr>
      <w:r>
        <w:rPr>
          <w:b/>
          <w:bCs/>
        </w:rPr>
        <w:t xml:space="preserve">Sharing and Visibility Architect</w:t>
      </w:r>
      <w:r>
        <w:t xml:space="preserve"> (60 + 5 unscored, 120 min, 67%)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31"/>
        <w:gridCol w:w="1378"/>
        <w:gridCol w:w="3471"/>
      </w:tblGrid>
      <w:tr>
        <w:trPr>
          <w:cantSplit/>
          <w:tblHeader/>
        </w:trPr>
        <w:tc>
          <w:tcPr>
            <w:tcW w:type="dxa" w:w="52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37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5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to records</w:t>
            </w:r>
          </w:p>
        </w:tc>
        <w:tc>
          <w:tcPr>
            <w:tcW w:type="dxa" w:w="1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39%</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SV1–SV4, EX2; 03; 13 B5</w:t>
            </w:r>
          </w:p>
        </w:tc>
      </w:tr>
      <w:tr>
        <w:trPr>
          <w:cantSplit/>
        </w:trPr>
        <w:tc>
          <w:tcPr>
            <w:tcW w:type="dxa" w:w="5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Permissions to objects and fields</w:t>
            </w:r>
          </w:p>
        </w:tc>
        <w:tc>
          <w:tcPr>
            <w:tcW w:type="dxa" w:w="1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27%</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SV5–SV6, SH1</w:t>
            </w:r>
          </w:p>
        </w:tc>
      </w:tr>
      <w:tr>
        <w:trPr>
          <w:cantSplit/>
        </w:trPr>
        <w:tc>
          <w:tcPr>
            <w:tcW w:type="dxa" w:w="5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Implications of security model choice</w:t>
            </w:r>
          </w:p>
        </w:tc>
        <w:tc>
          <w:tcPr>
            <w:tcW w:type="dxa" w:w="1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SV3–SV4</w:t>
            </w:r>
          </w:p>
        </w:tc>
      </w:tr>
      <w:tr>
        <w:trPr>
          <w:cantSplit/>
        </w:trPr>
        <w:tc>
          <w:tcPr>
            <w:tcW w:type="dxa" w:w="52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to other data</w:t>
            </w:r>
          </w:p>
        </w:tc>
        <w:tc>
          <w:tcPr>
            <w:tcW w:type="dxa" w:w="1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SV7</w:t>
            </w:r>
          </w:p>
        </w:tc>
      </w:tr>
    </w:tbl>
    <w:p>
      <w:pPr>
        <w:spacing w:after="120"/>
      </w:pPr>
    </w:p>
    <w:p>
      <w:pPr>
        <w:spacing w:after="120"/>
      </w:pPr>
      <w:r>
        <w:rPr>
          <w:b/>
          <w:bCs/>
        </w:rPr>
        <w:t xml:space="preserve">Identity and Access Management Architect</w:t>
      </w:r>
      <w:r>
        <w:t xml:space="preserve"> (60 questions, 120 min, 65%)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381"/>
        <w:gridCol w:w="1406"/>
        <w:gridCol w:w="3293"/>
      </w:tblGrid>
      <w:tr>
        <w:trPr>
          <w:cantSplit/>
          <w:tblHeader/>
        </w:trPr>
        <w:tc>
          <w:tcPr>
            <w:tcW w:type="dxa" w:w="53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4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32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Covered by</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Accepting third-party identity</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21%</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IA2, IA4; 03</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Community (Experience Cloud)</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IA4–IA5, EX1–EX2</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management concepts</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IA1–IA2; 01</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as an identity provider</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IA6; 16 CH7</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management best practices</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IA3, IA8, SV5</w:t>
            </w:r>
          </w:p>
        </w:tc>
      </w:tr>
      <w:tr>
        <w:trPr>
          <w:cantSplit/>
        </w:trPr>
        <w:tc>
          <w:tcPr>
            <w:tcW w:type="dxa" w:w="53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Identity</w:t>
            </w:r>
          </w:p>
        </w:tc>
        <w:tc>
          <w:tcPr>
            <w:tcW w:type="dxa" w:w="14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32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IA1; 14 DQ2</w:t>
            </w:r>
          </w:p>
        </w:tc>
      </w:tr>
    </w:tbl>
    <w:p>
      <w:pPr>
        <w:spacing w:after="120"/>
      </w:pPr>
    </w:p>
    <w:p>
      <w:pPr>
        <w:spacing w:after="120"/>
      </w:pPr>
      <w:r>
        <w:rPr>
          <w:b/>
          <w:bCs/>
        </w:rPr>
        <w:t xml:space="preserve">Agentforce Specialist</w:t>
      </w:r>
      <w:r>
        <w:t xml:space="preserve"> (60 questions, 105 min, 73%) — see Module 16 §4.</w:t>
      </w:r>
    </w:p>
    <w:p>
      <w:pPr>
        <w:pStyle w:val="Heading2"/>
      </w:pPr>
      <w:r>
        <w:t xml:space="preserve">7.4 New items to confirm in a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781"/>
        <w:gridCol w:w="1334"/>
        <w:gridCol w:w="2965"/>
      </w:tblGrid>
      <w:tr>
        <w:trPr>
          <w:cantSplit/>
          <w:tblHeader/>
        </w:trPr>
        <w:tc>
          <w:tcPr>
            <w:tcW w:type="dxa" w:w="57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Item</w:t>
            </w:r>
          </w:p>
        </w:tc>
        <w:tc>
          <w:tcPr>
            <w:tcW w:type="dxa" w:w="13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c>
          <w:tcPr>
            <w:tcW w:type="dxa" w:w="2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it couldn't be confirmed here</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blocks compile and tests pass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13–16</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Salesforce compiler in this environment</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 Relay event shape in EventBridge (</w:t>
            </w:r>
            <w:r>
              <w:rPr>
                <w:rFonts w:ascii="Consolas" w:cs="Consolas" w:eastAsia="Consolas" w:hAnsi="Consolas"/>
                <w:b w:val="false"/>
                <w:bCs w:val="false"/>
                <w:sz w:val="16"/>
                <w:szCs w:val="16"/>
                <w:shd w:fill="EEF0F3" w:color="auto" w:val="clear"/>
              </w:rPr>
              <w:t xml:space="preserve">detail-type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detail.payload</w:t>
            </w:r>
            <w:r>
              <w:rPr>
                <w:b w:val="false"/>
                <w:bCs w:val="false"/>
                <w:sz w:val="17"/>
                <w:szCs w:val="17"/>
              </w:rPr>
              <w:t xml:space="preserve"> paths)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§4.5</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Log the first event</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Restriction rule user criterion using a custom permission, on </w:t>
            </w: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(and whether Opportunity is supported)</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SV1</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Object support varies</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Editing Data Classification picklists (adding PIPEDA, Law 25, CASL)</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DM3</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Setup labels vary</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Messaging user-verification claims and the web method for passing the token</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IA5</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overview doesn't list them</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Credential field names for STS Roles Anywhere</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IA7</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Docs list the protocol, not every field</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GuardDuty Malware Protection for S3 tag key and values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EX3</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Confirm in the GuardDuty console</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API request and response bodies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CH7</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Reference pages didn't render</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metadata types after Agent Script; </w:t>
            </w:r>
            <w:r>
              <w:rPr>
                <w:rFonts w:ascii="Consolas" w:cs="Consolas" w:eastAsia="Consolas" w:hAnsi="Consolas"/>
                <w:b w:val="false"/>
                <w:bCs w:val="false"/>
                <w:sz w:val="16"/>
                <w:szCs w:val="16"/>
                <w:shd w:fill="EEF0F3" w:color="auto" w:val="clear"/>
              </w:rPr>
              <w:t xml:space="preserve">sf agent test run</w:t>
            </w:r>
            <w:r>
              <w:rPr>
                <w:b w:val="false"/>
                <w:bCs w:val="false"/>
                <w:sz w:val="17"/>
                <w:szCs w:val="17"/>
              </w:rPr>
              <w:t xml:space="preserve"> flags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CH9–CH10</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Changed with the new builder</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FSC standard-object API names</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MG8</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Object Manager in an FSC org</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Partner/Customer Community licence counts in Developer Edition</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B6, 15</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Varies by org</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Transfer Family and Step Functions prices in ca-central-1</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Pricing pages show us-east-1</w:t>
            </w:r>
          </w:p>
        </w:tc>
      </w:tr>
      <w:tr>
        <w:trPr>
          <w:cantSplit/>
        </w:trPr>
        <w:tc>
          <w:tcPr>
            <w:tcW w:type="dxa" w:w="5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Dreamforce 2026 features available in your org</w:t>
            </w:r>
          </w:p>
        </w:tc>
        <w:tc>
          <w:tcPr>
            <w:tcW w:type="dxa" w:w="1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w:t>
            </w:r>
          </w:p>
        </w:tc>
        <w:tc>
          <w:tcPr>
            <w:tcW w:type="dxa" w:w="29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Rollouts are staged</w:t>
            </w:r>
          </w:p>
        </w:tc>
      </w:tr>
    </w:tbl>
    <w:p>
      <w:pPr>
        <w:spacing w:after="120"/>
      </w:pPr>
    </w:p>
    <w:p>
      <w:pPr>
        <w:pBdr>
          <w:bottom w:val="single" w:color="BFBFBF" w:sz="6" w:space="1"/>
        </w:pBdr>
        <w:spacing w:after="120" w:before="120"/>
      </w:pPr>
    </w:p>
    <w:p>
      <w:pPr>
        <w:pStyle w:val="Heading1"/>
      </w:pPr>
      <w:bookmarkStart w:name="s8" w:id="8"/>
      <w:r>
        <w:t xml:space="preserve">8. Mortgage edition review (October 18–19, 2026)</w:t>
      </w:r>
      <w:bookmarkEnd w:id="8"/>
    </w:p>
    <w:p>
      <w:pPr>
        <w:spacing w:after="120"/>
      </w:pPr>
      <w:r>
        <w:t xml:space="preserve">The programme now follows one fictional federally regulated trust and loan company, Apex Home Lending, from first-home webinar to renewal, with a broker channel as the B2B lane. The rewrite kept every lab ID, ADR number and trust-chain hop, and changed the domain underneath them (primer §9 has the term map).</w:t>
      </w:r>
    </w:p>
    <w:p>
      <w:pPr>
        <w:pStyle w:val="Heading2"/>
      </w:pPr>
      <w:r>
        <w:t xml:space="preserve">8.1 Checks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56"/>
        <w:gridCol w:w="4362"/>
        <w:gridCol w:w="3062"/>
      </w:tblGrid>
      <w:tr>
        <w:trPr>
          <w:cantSplit/>
          <w:tblHeader/>
        </w:trPr>
        <w:tc>
          <w:tcPr>
            <w:tcW w:type="dxa" w:w="26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Check</w:t>
            </w:r>
          </w:p>
        </w:tc>
        <w:tc>
          <w:tcPr>
            <w:tcW w:type="dxa" w:w="43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Tooling</w:t>
            </w:r>
          </w:p>
        </w:tc>
        <w:tc>
          <w:tcPr>
            <w:tcW w:type="dxa" w:w="30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Result</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 blocks in 19 guides (46 Bash, 43 Python, 12 HCL, 10 YAML, 8 XML, 6 JSON)</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scripts/check_blocks.py</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pass. 13 Apex blocks and 6 SQL blocks are skipped by the checker; the SQL was run (8.4), the Apex was reviewed by hand</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Mermaid (21 files + 11 embedded)</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Mermaid parser (v11, jsdom)</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32 parse</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draw.io (15 files)</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XML well-formedness</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valid</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Diagram specs</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Generator check: duplicate IDs, dangling edges, layout coverage</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Cross-references</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176 "Module/Project NN lab" and "§n.n" references resolved against headings</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resolve</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ADRs</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ADR-001…052</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Each defined once (051 broker intake, 052 multi-agent orchestration are new)</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Leftover wealth terms</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Scan for advisor, AUM, holdings, core banking, </w:t>
            </w:r>
            <w:r>
              <w:rPr>
                <w:rFonts w:ascii="Consolas" w:cs="Consolas" w:eastAsia="Consolas" w:hAnsi="Consolas"/>
                <w:b w:val="false"/>
                <w:bCs w:val="false"/>
                <w:sz w:val="16"/>
                <w:szCs w:val="16"/>
                <w:shd w:fill="EEF0F3" w:color="auto" w:val="clear"/>
              </w:rPr>
              <w:t xml:space="preserve">Financial_Account__c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Tax_Id__c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apexfs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OPEN_ACCOUNT</w:t>
            </w:r>
            <w:r>
              <w:rPr>
                <w:b w:val="false"/>
                <w:bCs w:val="false"/>
                <w:sz w:val="17"/>
                <w:szCs w:val="17"/>
              </w:rPr>
              <w:t xml:space="preserve">, RRSP/TFSA/FHSA, institutional, seminar, </w:t>
            </w:r>
            <w:r>
              <w:rPr>
                <w:rFonts w:ascii="Consolas" w:cs="Consolas" w:eastAsia="Consolas" w:hAnsi="Consolas"/>
                <w:b w:val="false"/>
                <w:bCs w:val="false"/>
                <w:sz w:val="16"/>
                <w:szCs w:val="16"/>
                <w:shd w:fill="EEF0F3" w:color="auto" w:val="clear"/>
              </w:rPr>
              <w:t xml:space="preserve">C-</w:t>
            </w:r>
            <w:r>
              <w:rPr>
                <w:b w:val="false"/>
                <w:bCs w:val="false"/>
                <w:sz w:val="17"/>
                <w:szCs w:val="17"/>
              </w:rPr>
              <w:t xml:space="preserve"> client IDs and the old permission set groups</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 outside the term map and this log. Remaining "client" words are OAuth and SDK clients</w:t>
            </w:r>
          </w:p>
        </w:tc>
      </w:tr>
      <w:tr>
        <w:trPr>
          <w:cantSplit/>
        </w:trPr>
        <w:tc>
          <w:tcPr>
            <w:tcW w:type="dxa" w:w="26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w:t>
            </w:r>
          </w:p>
        </w:tc>
        <w:tc>
          <w:tcPr>
            <w:tcW w:type="dxa" w:w="4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PostgreSQL 16, pytest and the scripts in </w:t>
            </w:r>
            <w:r>
              <w:rPr>
                <w:rFonts w:ascii="Consolas" w:cs="Consolas" w:eastAsia="Consolas" w:hAnsi="Consolas"/>
                <w:b w:val="false"/>
                <w:bCs w:val="false"/>
                <w:sz w:val="16"/>
                <w:szCs w:val="16"/>
                <w:shd w:fill="EEF0F3" w:color="auto" w:val="clear"/>
              </w:rPr>
              <w:t xml:space="preserve">code/13-integrated/tests</w:t>
            </w:r>
          </w:p>
        </w:tc>
        <w:tc>
          <w:tcPr>
            <w:tcW w:type="dxa" w:w="30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See 8.4</w:t>
            </w:r>
          </w:p>
        </w:tc>
      </w:tr>
    </w:tbl>
    <w:p>
      <w:pPr>
        <w:spacing w:after="120"/>
      </w:pPr>
    </w:p>
    <w:p>
      <w:pPr>
        <w:pStyle w:val="Heading2"/>
      </w:pPr>
      <w:r>
        <w:t xml:space="preserve">8.2 Mortgage facts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65"/>
        <w:gridCol w:w="1176"/>
        <w:gridCol w:w="2439"/>
      </w:tblGrid>
      <w:tr>
        <w:trPr>
          <w:cantSplit/>
          <w:tblHeader/>
        </w:trPr>
        <w:tc>
          <w:tcPr>
            <w:tcW w:type="dxa" w:w="64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Claim</w:t>
            </w:r>
          </w:p>
        </w:tc>
        <w:tc>
          <w:tcPr>
            <w:tcW w:type="dxa" w:w="11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 in</w:t>
            </w:r>
          </w:p>
        </w:tc>
        <w:tc>
          <w:tcPr>
            <w:tcW w:type="dxa" w:w="243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Minimum qualifying rate for uninsured mortgages: the greater of the contract rate + 2% and 5.25%; OSFI kept it in January 2026 and reaffirmed the loan-to-income limits (share of new uninsured loans above 4.5× income)</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05, 08</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OSFI; Canadian Mortgage Trends (January 2026)</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Insured-mortgage rules: insurance above 80% LTV; $1.5M price cap and 30-year amortization for first-time buyers and new builds from December 15, 2024; minimum down payment 5% of the first $500,000 and 10% of the rest</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03, 05</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Department of Finance Canada (September and December 2024)</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CMHC GDS 39% and TDS 44%; one borrower with a credit score of 600 or more</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CMHC underwriting criteria</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Default-insurance premiums 2.80% / 3.10% / 4.00% by LTV band; the premium can be added to the loan and GDS includes it; a 20-basis-point surcharge for a 30-year amortization</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05, 13 §4.11</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CMHC premium information; OACIQ (GDS); Sagen lender update</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Straight switches at renewal don't need the stress test (uninsured from November 21, 2024; insurable from the Fall Economic Statement)</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03</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OSFI; Ratehub (Fall Economic Statement)</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 renewal statement at least 21 days before the term ends; the exceptional-circumstances guideline (updated September 25, 2025) expects proactive contact and human relief decisions</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04, 08 F4, 13 §6, 16</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Mortgage administrators, brokers and lenders became FINTRAC reporting entities on October 11, 2024; records kept at least 5 years</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14 GV5</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Goodmans; BLG</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BC's </w:t>
            </w:r>
            <w:r>
              <w:rPr>
                <w:b w:val="false"/>
                <w:bCs w:val="false"/>
                <w:i/>
                <w:iCs/>
                <w:sz w:val="17"/>
                <w:szCs w:val="17"/>
              </w:rPr>
              <w:t xml:space="preserve">Mortgage Services Act</w:t>
            </w:r>
            <w:r>
              <w:rPr>
                <w:b w:val="false"/>
                <w:bCs w:val="false"/>
                <w:sz w:val="17"/>
                <w:szCs w:val="17"/>
              </w:rPr>
              <w:t xml:space="preserve"> came into force on October 13, 2026 (BCFSA), replacing the </w:t>
            </w:r>
            <w:r>
              <w:rPr>
                <w:b w:val="false"/>
                <w:bCs w:val="false"/>
                <w:i/>
                <w:iCs/>
                <w:sz w:val="17"/>
                <w:szCs w:val="17"/>
              </w:rPr>
              <w:t xml:space="preserve">Mortgage Brokers Act</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§4, 13 §5</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BCFSA</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i/>
                <w:iCs/>
                <w:sz w:val="17"/>
                <w:szCs w:val="17"/>
              </w:rPr>
              <w:t xml:space="preserve">Interest Act</w:t>
            </w:r>
            <w:r>
              <w:rPr>
                <w:b w:val="false"/>
                <w:bCs w:val="false"/>
                <w:sz w:val="17"/>
                <w:szCs w:val="17"/>
              </w:rPr>
              <w:t xml:space="preserve"> s. 6: blended-payment mortgages state the rate calculated yearly or half-yearly, so fixed-rate payment maths compounds semi-annually</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05, 13</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i/>
                <w:iCs/>
                <w:sz w:val="17"/>
                <w:szCs w:val="17"/>
              </w:rPr>
              <w:t xml:space="preserve">Interest Act</w:t>
            </w:r>
            <w:r>
              <w:rPr>
                <w:b w:val="false"/>
                <w:bCs w:val="false"/>
                <w:sz w:val="17"/>
                <w:szCs w:val="17"/>
              </w:rPr>
              <w:t xml:space="preserve"> (R.S.C. 1985, c. I-15)</w:t>
            </w:r>
          </w:p>
        </w:tc>
      </w:tr>
      <w:tr>
        <w:trPr>
          <w:cantSplit/>
        </w:trPr>
        <w:tc>
          <w:tcPr>
            <w:tcW w:type="dxa" w:w="64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FSC residential-loan objects (Residential Loan Application, Loan Applicant, Loan Application Property and related)</w:t>
            </w:r>
          </w:p>
        </w:tc>
        <w:tc>
          <w:tcPr>
            <w:tcW w:type="dxa" w:w="11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§6, 14 MG8</w:t>
            </w:r>
          </w:p>
        </w:tc>
        <w:tc>
          <w:tcPr>
            <w:tcW w:type="dxa" w:w="24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mortgage data model ⚠ confirm API names</w:t>
            </w:r>
          </w:p>
        </w:tc>
      </w:tr>
    </w:tbl>
    <w:p>
      <w:pPr>
        <w:spacing w:after="120"/>
      </w:pPr>
    </w:p>
    <w:p>
      <w:pPr>
        <w:pStyle w:val="Heading2"/>
      </w:pPr>
      <w:r>
        <w:t xml:space="preserve">8.3 Salesforce and platform facts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68"/>
        <w:gridCol w:w="1156"/>
        <w:gridCol w:w="3256"/>
      </w:tblGrid>
      <w:tr>
        <w:trPr>
          <w:cantSplit/>
          <w:tblHeader/>
        </w:trPr>
        <w:tc>
          <w:tcPr>
            <w:tcW w:type="dxa" w:w="56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Claim</w:t>
            </w:r>
          </w:p>
        </w:tc>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 in</w:t>
            </w:r>
          </w:p>
        </w:tc>
        <w:tc>
          <w:tcPr>
            <w:tcW w:type="dxa" w:w="32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Multi-agent orchestration is GA (Summer '26): routing by agent descriptions, deterministic routes in Agent Script, supervised and handoff modes; parallel execution, background agents and plan-and-present are on the roadmap</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AX1, ADR-052</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Scaling Beyond One Agent?</w:t>
            </w:r>
            <w:r>
              <w:rPr>
                <w:b w:val="false"/>
                <w:bCs w:val="false"/>
                <w:sz w:val="17"/>
                <w:szCs w:val="17"/>
              </w:rPr>
              <w:t xml:space="preserve"> (August 2026)</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A2A Outbound and Inbound; orchestration over A2A-compliant third-party agents in pilot</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AX4, 12 A3</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val="false"/>
                <w:bCs w:val="false"/>
                <w:i/>
                <w:iCs/>
                <w:sz w:val="17"/>
                <w:szCs w:val="17"/>
              </w:rPr>
              <w:t xml:space="preserve">Agentforce Interoperability Guide</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Script blocks, linked and mutable variables, </w:t>
            </w:r>
            <w:r>
              <w:rPr>
                <w:rFonts w:ascii="Consolas" w:cs="Consolas" w:eastAsia="Consolas" w:hAnsi="Consolas"/>
                <w:b w:val="false"/>
                <w:bCs w:val="false"/>
                <w:sz w:val="16"/>
                <w:szCs w:val="16"/>
                <w:shd w:fill="EEF0F3" w:color="auto" w:val="clear"/>
              </w:rPr>
              <w:t xml:space="preserve">@utils.transition</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@utils.setVariables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available when</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connected_subagent</w:t>
            </w:r>
            <w:r>
              <w:rPr>
                <w:b w:val="false"/>
                <w:bCs w:val="false"/>
                <w:sz w:val="17"/>
                <w:szCs w:val="17"/>
              </w:rPr>
              <w:t xml:space="preserve"> (Beta)</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CH3, AX2</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Developers, Agent Script reference</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sf agent</w:t>
            </w:r>
            <w:r>
              <w:rPr>
                <w:b w:val="false"/>
                <w:bCs w:val="false"/>
                <w:sz w:val="17"/>
                <w:szCs w:val="17"/>
              </w:rPr>
              <w:t xml:space="preserve"> commands: authoring bundles, preview, traces, tests, </w:t>
            </w:r>
            <w:r>
              <w:rPr>
                <w:rFonts w:ascii="Consolas" w:cs="Consolas" w:eastAsia="Consolas" w:hAnsi="Consolas"/>
                <w:b w:val="false"/>
                <w:bCs w:val="false"/>
                <w:sz w:val="16"/>
                <w:szCs w:val="16"/>
                <w:shd w:fill="EEF0F3" w:color="auto" w:val="clear"/>
              </w:rPr>
              <w:t xml:space="preserve">test run-eval</w:t>
            </w:r>
            <w:r>
              <w:rPr>
                <w:b w:val="false"/>
                <w:bCs w:val="false"/>
                <w:sz w:val="17"/>
                <w:szCs w:val="17"/>
              </w:rPr>
              <w:t xml:space="preserve"> (Beta), </w:t>
            </w:r>
            <w:r>
              <w:rPr>
                <w:rFonts w:ascii="Consolas" w:cs="Consolas" w:eastAsia="Consolas" w:hAnsi="Consolas"/>
                <w:b w:val="false"/>
                <w:bCs w:val="false"/>
                <w:sz w:val="16"/>
                <w:szCs w:val="16"/>
                <w:shd w:fill="EEF0F3" w:color="auto" w:val="clear"/>
              </w:rPr>
              <w:t xml:space="preserve">mcp</w:t>
            </w:r>
            <w:r>
              <w:rPr>
                <w:b w:val="false"/>
                <w:bCs w:val="false"/>
                <w:sz w:val="17"/>
                <w:szCs w:val="17"/>
              </w:rPr>
              <w:t xml:space="preserve"> (Developer Preview)</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AX6</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CLI command reference</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Observability: session tracing on Data 360, unmetered for Agentforce SKUs</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AX7</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blog, </w:t>
            </w:r>
            <w:r>
              <w:rPr>
                <w:b w:val="false"/>
                <w:bCs w:val="false"/>
                <w:i/>
                <w:iCs/>
                <w:sz w:val="17"/>
                <w:szCs w:val="17"/>
              </w:rPr>
              <w:t xml:space="preserve">Agentforce Observability</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for Financial Services, including a digital loan officer agent</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§0</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news (May 21, 2025)</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Agent Fabric: Agent Registry, Agent Broker, Visualizer, A2A support, runtime governance through Omni Gateway</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A4, 16 AX4</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w:t>
            </w:r>
            <w:r>
              <w:rPr>
                <w:b w:val="false"/>
                <w:bCs w:val="false"/>
                <w:i/>
                <w:iCs/>
                <w:sz w:val="17"/>
                <w:szCs w:val="17"/>
              </w:rPr>
              <w:t xml:space="preserve">Agent Fabric</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sharing reasons exist only for custom objects; a share written from Apex on a standard object has row cause Manual and is deleted when the owner changes</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SV2, 13 B6</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Developer Guide, </w:t>
            </w:r>
            <w:r>
              <w:rPr>
                <w:b w:val="false"/>
                <w:bCs w:val="false"/>
                <w:i/>
                <w:iCs/>
                <w:sz w:val="17"/>
                <w:szCs w:val="17"/>
              </w:rPr>
              <w:t xml:space="preserve">Sharing a Record Using Apex</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High-volume (Customer Community) users don't use the sharing model; they get access through sharing sets or share groups</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EX2</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Architects, </w:t>
            </w:r>
            <w:r>
              <w:rPr>
                <w:b w:val="false"/>
                <w:bCs w:val="false"/>
                <w:i/>
                <w:iCs/>
                <w:sz w:val="17"/>
                <w:szCs w:val="17"/>
              </w:rPr>
              <w:t xml:space="preserve">Platform sharing architecture</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org includes 1 million big-object records by default; more is bought as capacity</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DM7</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Gearset (vendor blog)</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Athena bucketing: a query for one bucketed value reads at most one file per partition</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DM6</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Athena documentation, </w:t>
            </w:r>
            <w:r>
              <w:rPr>
                <w:b w:val="false"/>
                <w:bCs w:val="false"/>
                <w:i/>
                <w:iCs/>
                <w:sz w:val="17"/>
                <w:szCs w:val="17"/>
              </w:rPr>
              <w:t xml:space="preserve">What is bucketing?</w:t>
            </w:r>
          </w:p>
        </w:tc>
      </w:tr>
      <w:tr>
        <w:trPr>
          <w:cantSplit/>
        </w:trPr>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standard Contact Birthdate field isn't on Platform Encryption's list of encryptable fields</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MG3, 15 SH1</w:t>
            </w:r>
          </w:p>
        </w:tc>
        <w:tc>
          <w:tcPr>
            <w:tcW w:type="dxa" w:w="3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summary of the encryptable-field list ⚠ check the current list</w:t>
            </w:r>
          </w:p>
        </w:tc>
      </w:tr>
    </w:tbl>
    <w:p>
      <w:pPr>
        <w:spacing w:after="120"/>
      </w:pPr>
    </w:p>
    <w:p>
      <w:pPr>
        <w:pStyle w:val="Heading2"/>
      </w:pPr>
      <w:r>
        <w:t xml:space="preserve">8.4 Code tested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14"/>
        <w:gridCol w:w="4216"/>
        <w:gridCol w:w="3050"/>
      </w:tblGrid>
      <w:tr>
        <w:trPr>
          <w:cantSplit/>
          <w:tblHeader/>
        </w:trPr>
        <w:tc>
          <w:tcPr>
            <w:tcW w:type="dxa" w:w="28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Code</w:t>
            </w:r>
          </w:p>
        </w:tc>
        <w:tc>
          <w:tcPr>
            <w:tcW w:type="dxa" w:w="42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c>
          <w:tcPr>
            <w:tcW w:type="dxa" w:w="3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Result</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02 seed (</w:t>
            </w:r>
            <w:r>
              <w:rPr>
                <w:rFonts w:ascii="Consolas" w:cs="Consolas" w:eastAsia="Consolas" w:hAnsi="Consolas"/>
                <w:b w:val="false"/>
                <w:bCs w:val="false"/>
                <w:sz w:val="16"/>
                <w:szCs w:val="16"/>
                <w:shd w:fill="EEF0F3" w:color="auto" w:val="clear"/>
              </w:rPr>
              <w:t xml:space="preserve">SEED_LOANS=300</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schema.sql</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Loaded into PostgreSQL 16</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300 loans, 20,290 payments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Qualification service (</w:t>
            </w:r>
            <w:r>
              <w:rPr>
                <w:rFonts w:ascii="Consolas" w:cs="Consolas" w:eastAsia="Consolas" w:hAnsi="Consolas"/>
                <w:b w:val="false"/>
                <w:bCs w:val="false"/>
                <w:sz w:val="16"/>
                <w:szCs w:val="16"/>
                <w:shd w:fill="EEF0F3" w:color="auto" w:val="clear"/>
              </w:rPr>
              <w:t xml:space="preserve">qualify.py</w:t>
            </w:r>
            <w:r>
              <w:rPr>
                <w:b w:val="false"/>
                <w:bCs w:val="false"/>
                <w:sz w:val="17"/>
                <w:szCs w:val="17"/>
              </w:rPr>
              <w:t xml:space="preserve">, parameters </w:t>
            </w:r>
            <w:r>
              <w:rPr>
                <w:rFonts w:ascii="Consolas" w:cs="Consolas" w:eastAsia="Consolas" w:hAnsi="Consolas"/>
                <w:b w:val="false"/>
                <w:bCs w:val="false"/>
                <w:sz w:val="16"/>
                <w:szCs w:val="16"/>
                <w:shd w:fill="EEF0F3" w:color="auto" w:val="clear"/>
              </w:rPr>
              <w:t xml:space="preserve">2026.10-1</w:t>
            </w:r>
            <w:r>
              <w:rPr>
                <w:b w:val="false"/>
                <w:bCs w:val="false"/>
                <w:sz w:val="17"/>
                <w:szCs w:val="17"/>
              </w:rPr>
              <w:t xml:space="preserve">)</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pytest cases: the stress-test floor and buffer, semi-annual compounding, the minimum down payment, the premium added to the loan and counted in GDS/TDS, the Sharmas' deal, and the 30-year insured amortization rule</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pass. The guide (05), the tested file and </w:t>
            </w:r>
            <w:r>
              <w:rPr>
                <w:rFonts w:ascii="Consolas" w:cs="Consolas" w:eastAsia="Consolas" w:hAnsi="Consolas"/>
                <w:b w:val="false"/>
                <w:bCs w:val="false"/>
                <w:sz w:val="16"/>
                <w:szCs w:val="16"/>
                <w:shd w:fill="EEF0F3" w:color="auto" w:val="clear"/>
              </w:rPr>
              <w:t xml:space="preserve">code/13-integrated/vendor/qualify.py</w:t>
            </w:r>
            <w:r>
              <w:rPr>
                <w:b w:val="false"/>
                <w:bCs w:val="false"/>
                <w:sz w:val="17"/>
                <w:szCs w:val="17"/>
              </w:rPr>
              <w:t xml:space="preserve"> are identical</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adapter, </w:t>
            </w:r>
            <w:r>
              <w:rPr>
                <w:rFonts w:ascii="Consolas" w:cs="Consolas" w:eastAsia="Consolas" w:hAnsi="Consolas"/>
                <w:b w:val="false"/>
                <w:bCs w:val="false"/>
                <w:sz w:val="16"/>
                <w:szCs w:val="16"/>
                <w:shd w:fill="EEF0F3" w:color="auto" w:val="clear"/>
              </w:rPr>
              <w:t xml:space="preserve">release_advance</w:t>
            </w:r>
            <w:r>
              <w:rPr>
                <w:b w:val="false"/>
                <w:bCs w:val="false"/>
                <w:sz w:val="17"/>
                <w:szCs w:val="17"/>
              </w:rPr>
              <w:t xml:space="preserve">, outbox relay</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test_servicing.py</w:t>
            </w:r>
            <w:r>
              <w:rPr>
                <w:b w:val="false"/>
                <w:bCs w:val="false"/>
                <w:sz w:val="17"/>
                <w:szCs w:val="17"/>
              </w:rPr>
              <w:t xml:space="preserve"> (T1, T3, T4, T6, T9 and the reconciliation lookups)</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gateway: approval re-validation, Composite mirror, </w:t>
            </w:r>
            <w:r>
              <w:rPr>
                <w:rFonts w:ascii="Consolas" w:cs="Consolas" w:eastAsia="Consolas" w:hAnsi="Consolas"/>
                <w:b w:val="false"/>
                <w:bCs w:val="false"/>
                <w:sz w:val="16"/>
                <w:szCs w:val="16"/>
                <w:shd w:fill="EEF0F3" w:color="auto" w:val="clear"/>
              </w:rPr>
              <w:t xml:space="preserve">loan.funded</w:t>
            </w:r>
            <w:r>
              <w:rPr>
                <w:b w:val="false"/>
                <w:bCs w:val="false"/>
                <w:sz w:val="17"/>
                <w:szCs w:val="17"/>
              </w:rPr>
              <w:t xml:space="preserve"> consumer</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test_gateway.py</w:t>
            </w:r>
            <w:r>
              <w:rPr>
                <w:b w:val="false"/>
                <w:bCs w:val="false"/>
                <w:sz w:val="17"/>
                <w:szCs w:val="17"/>
              </w:rPr>
              <w:t xml:space="preserve"> (T5 checks)</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PAD returns validator and loader</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test_pad_returns.py</w:t>
            </w:r>
            <w:r>
              <w:rPr>
                <w:b w:val="false"/>
                <w:bCs w:val="false"/>
                <w:sz w:val="17"/>
                <w:szCs w:val="17"/>
              </w:rPr>
              <w:t xml:space="preserve"> (P1–P7)</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authorizer and broker intake</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test_partner.py</w:t>
            </w:r>
            <w:r>
              <w:rPr>
                <w:b w:val="false"/>
                <w:bCs w:val="false"/>
                <w:sz w:val="17"/>
                <w:szCs w:val="17"/>
              </w:rPr>
              <w:t xml:space="preserve"> (B9-T1–T4, T6–T9, two injection attempts)</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Bureau and insurer stubs, portal invitation</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test_stubs_and_invite.py</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r>
        <w:trPr>
          <w:cantSplit/>
        </w:trPr>
        <w:tc>
          <w:tcPr>
            <w:tcW w:type="dxa" w:w="2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Legacy-CRM generator and profiling (Module 14 §2, MG2)</w:t>
            </w:r>
          </w:p>
        </w:tc>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 end to end</w:t>
            </w:r>
          </w:p>
        </w:tc>
        <w:tc>
          <w:tcPr>
            <w:tcW w:type="dxa" w:w="3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12,000 households, 24,732 borrowers, 1,799 in-flight deals; profiling finds the seeded orphans, bad postal codes, duplicates, spellings, departed owners and 15 impossible deals</w:t>
            </w:r>
          </w:p>
        </w:tc>
      </w:tr>
    </w:tbl>
    <w:p>
      <w:pPr>
        <w:spacing w:after="120"/>
      </w:pPr>
    </w:p>
    <w:p>
      <w:pPr>
        <w:spacing w:after="120"/>
      </w:pPr>
      <w:r>
        <w:t xml:space="preserve">The tests use fakes for Secrets Manager, EventBridge, SQS, S3, DynamoDB, Cognito and the Salesforce REST API. They prove the logic and the SQL, not the cloud wiring, which the guides' cloud runs cover.</w:t>
      </w:r>
    </w:p>
    <w:p>
      <w:pPr>
        <w:pStyle w:val="Heading2"/>
      </w:pPr>
      <w:r>
        <w:t xml:space="preserve">8.5 Corrections and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3"/>
        <w:gridCol w:w="1084"/>
        <w:gridCol w:w="8343"/>
      </w:tblGrid>
      <w:tr>
        <w:trPr>
          <w:cantSplit/>
          <w:tblHeader/>
        </w:trPr>
        <w:tc>
          <w:tcPr>
            <w:tcW w:type="dxa" w:w="6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10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File</w:t>
            </w:r>
          </w:p>
        </w:tc>
        <w:tc>
          <w:tcPr>
            <w:tcW w:type="dxa" w:w="83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E8</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CH12</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Builder template types listed as Sales Email, Field Generation, Record Summary and Flex</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E9</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A4</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Circular wording removed: Omni Gateway (Flex Gateway before v1.13) is named once as Agent Fabric's enforcement point</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E10</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MuleSoft trial starts at week 27 (Phase 5), matching the timeline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E11</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§2.2</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INT-14 (the Data 360 data-action webhook) points to Module 09 D27</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E12</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05, 07</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Tool-schema ID patterns match the primer's identifier formats (</w:t>
            </w:r>
            <w:r>
              <w:rPr>
                <w:rFonts w:ascii="Consolas" w:cs="Consolas" w:eastAsia="Consolas" w:hAnsi="Consolas"/>
                <w:b w:val="false"/>
                <w:bCs w:val="false"/>
                <w:sz w:val="16"/>
                <w:szCs w:val="16"/>
                <w:shd w:fill="EEF0F3" w:color="auto" w:val="clear"/>
              </w:rPr>
              <w:t xml:space="preserve">^B-\d{4,6}$</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^APP-\d{6}$</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^CND-\d{6}$</w:t>
            </w:r>
            <w:r>
              <w:rPr>
                <w:b w:val="false"/>
                <w:bCs w:val="false"/>
                <w:sz w:val="17"/>
                <w:szCs w:val="17"/>
              </w:rPr>
              <w:t xml:space="preserv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E13</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 S9, 13, 15</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Portal accounts are created when the loan is boarded; until then applicants use single-use upload links</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 13 §4.11</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Premium modelling.</w:t>
            </w:r>
            <w:r>
              <w:rPr>
                <w:b w:val="false"/>
                <w:bCs w:val="false"/>
                <w:sz w:val="17"/>
                <w:szCs w:val="17"/>
              </w:rPr>
              <w:t xml:space="preserve"> The qualification service estimates the insurance premium from a versioned schedule, adds it to the loan, and includes it in GDS and TDS; the insurer's quote replaces the estimate. Boarding adds it to the principal, and the advance to the solicitor excludes it</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F2</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03, 07, 13</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Correlation_Id__c</w:t>
            </w:r>
            <w:r>
              <w:rPr>
                <w:b w:val="false"/>
                <w:bCs w:val="false"/>
                <w:sz w:val="17"/>
                <w:szCs w:val="17"/>
              </w:rPr>
              <w:t xml:space="preserve"> added to </w:t>
            </w:r>
            <w:r>
              <w:rPr>
                <w:rFonts w:ascii="Consolas" w:cs="Consolas" w:eastAsia="Consolas" w:hAnsi="Consolas"/>
                <w:b w:val="false"/>
                <w:bCs w:val="false"/>
                <w:sz w:val="16"/>
                <w:szCs w:val="16"/>
                <w:shd w:fill="EEF0F3" w:color="auto" w:val="clear"/>
              </w:rPr>
              <w:t xml:space="preserve">Approval_Request__c</w:t>
            </w:r>
            <w:r>
              <w:rPr>
                <w:b w:val="false"/>
                <w:bCs w:val="false"/>
                <w:sz w:val="17"/>
                <w:szCs w:val="17"/>
              </w:rPr>
              <w:t xml:space="preserve">. The funding request sets it, and the saga carries it as </w:t>
            </w:r>
            <w:r>
              <w:rPr>
                <w:rFonts w:ascii="Consolas" w:cs="Consolas" w:eastAsia="Consolas" w:hAnsi="Consolas"/>
                <w:b w:val="false"/>
                <w:bCs w:val="false"/>
                <w:sz w:val="16"/>
                <w:szCs w:val="16"/>
                <w:shd w:fill="EEF0F3" w:color="auto" w:val="clear"/>
              </w:rPr>
              <w:t xml:space="preserve">correlationId</w:t>
            </w:r>
            <w:r>
              <w:rPr>
                <w:b w:val="false"/>
                <w:bCs w:val="false"/>
                <w:sz w:val="17"/>
                <w:szCs w:val="17"/>
              </w:rPr>
              <w:t xml:space="preserve"> in its input and events; the approval ID stays the business key (idempotency, </w:t>
            </w:r>
            <w:r>
              <w:rPr>
                <w:rFonts w:ascii="Consolas" w:cs="Consolas" w:eastAsia="Consolas" w:hAnsi="Consolas"/>
                <w:b w:val="false"/>
                <w:bCs w:val="false"/>
                <w:sz w:val="16"/>
                <w:szCs w:val="16"/>
                <w:shd w:fill="EEF0F3" w:color="auto" w:val="clear"/>
              </w:rPr>
              <w:t xml:space="preserve">external_ref</w:t>
            </w:r>
            <w:r>
              <w:rPr>
                <w:b w:val="false"/>
                <w:bCs w:val="false"/>
                <w:sz w:val="17"/>
                <w:szCs w:val="17"/>
              </w:rPr>
              <w:t xml:space="preserv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F3</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 Step 8, 13 §6</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Late-arriving changes.</w:t>
            </w:r>
            <w:r>
              <w:rPr>
                <w:b w:val="false"/>
                <w:bCs w:val="false"/>
                <w:sz w:val="17"/>
                <w:szCs w:val="17"/>
              </w:rPr>
              <w:t xml:space="preserve"> A returned payment changes a row the nightly extract had already passed, so a </w:t>
            </w:r>
            <w:r>
              <w:rPr>
                <w:rFonts w:ascii="Consolas" w:cs="Consolas" w:eastAsia="Consolas" w:hAnsi="Consolas"/>
                <w:b w:val="false"/>
                <w:bCs w:val="false"/>
                <w:sz w:val="16"/>
                <w:szCs w:val="16"/>
                <w:shd w:fill="EEF0F3" w:color="auto" w:val="clear"/>
              </w:rPr>
              <w:t xml:space="preserve">posted_at</w:t>
            </w:r>
            <w:r>
              <w:rPr>
                <w:b w:val="false"/>
                <w:bCs w:val="false"/>
                <w:sz w:val="17"/>
                <w:szCs w:val="17"/>
              </w:rPr>
              <w:t xml:space="preserve"> watermark would never carry it. The extract now uses </w:t>
            </w:r>
            <w:r>
              <w:rPr>
                <w:rFonts w:ascii="Consolas" w:cs="Consolas" w:eastAsia="Consolas" w:hAnsi="Consolas"/>
                <w:b w:val="false"/>
                <w:bCs w:val="false"/>
                <w:sz w:val="16"/>
                <w:szCs w:val="16"/>
                <w:shd w:fill="EEF0F3" w:color="auto" w:val="clear"/>
              </w:rPr>
              <w:t xml:space="preserve">payments.changed_at</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F4</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qualification flow could re-trigger on its own premium write. Its entry criteria now exclude premium writes, and it runs when </w:t>
            </w:r>
            <w:r>
              <w:rPr>
                <w:rFonts w:ascii="Consolas" w:cs="Consolas" w:eastAsia="Consolas" w:hAnsi="Consolas"/>
                <w:b w:val="false"/>
                <w:bCs w:val="false"/>
                <w:sz w:val="16"/>
                <w:szCs w:val="16"/>
                <w:shd w:fill="EEF0F3" w:color="auto" w:val="clear"/>
              </w:rPr>
              <w:t xml:space="preserve">Premium_Confirmed__c</w:t>
            </w:r>
            <w:r>
              <w:rPr>
                <w:b w:val="false"/>
                <w:bCs w:val="false"/>
                <w:sz w:val="17"/>
                <w:szCs w:val="17"/>
              </w:rPr>
              <w:t xml:space="preserve"> becomes true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F5</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§4.7</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Joint borrowers who share one email address can't both be identified by it, so the invitation Lambda refuses the second and a person resolves it</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F6</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B9</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jsonschema</w:t>
            </w:r>
            <w:r>
              <w:rPr>
                <w:b w:val="false"/>
                <w:bCs w:val="false"/>
                <w:sz w:val="17"/>
                <w:szCs w:val="17"/>
              </w:rPr>
              <w:t xml:space="preserve"> checks </w:t>
            </w:r>
            <w:r>
              <w:rPr>
                <w:rFonts w:ascii="Consolas" w:cs="Consolas" w:eastAsia="Consolas" w:hAnsi="Consolas"/>
                <w:b w:val="false"/>
                <w:bCs w:val="false"/>
                <w:sz w:val="16"/>
                <w:szCs w:val="16"/>
                <w:shd w:fill="EEF0F3" w:color="auto" w:val="clear"/>
              </w:rPr>
              <w:t xml:space="preserve">date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date-time</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email</w:t>
            </w:r>
            <w:r>
              <w:rPr>
                <w:b w:val="false"/>
                <w:bCs w:val="false"/>
                <w:sz w:val="17"/>
                <w:szCs w:val="17"/>
              </w:rPr>
              <w:t xml:space="preserve"> formats only with </w:t>
            </w:r>
            <w:r>
              <w:rPr>
                <w:rFonts w:ascii="Consolas" w:cs="Consolas" w:eastAsia="Consolas" w:hAnsi="Consolas"/>
                <w:b w:val="false"/>
                <w:bCs w:val="false"/>
                <w:sz w:val="16"/>
                <w:szCs w:val="16"/>
                <w:shd w:fill="EEF0F3" w:color="auto" w:val="clear"/>
              </w:rPr>
              <w:t xml:space="preserve">jsonschema[format-nongpl]</w:t>
            </w:r>
            <w:r>
              <w:rPr>
                <w:b w:val="false"/>
                <w:bCs w:val="false"/>
                <w:sz w:val="17"/>
                <w:szCs w:val="17"/>
              </w:rPr>
              <w:t xml:space="preserve"> installed; now stated</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F7</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CH3</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verification gate uses a linked variable that the platform sets. The model can change mutable variables only through </w:t>
            </w:r>
            <w:r>
              <w:rPr>
                <w:rFonts w:ascii="Consolas" w:cs="Consolas" w:eastAsia="Consolas" w:hAnsi="Consolas"/>
                <w:b w:val="false"/>
                <w:bCs w:val="false"/>
                <w:sz w:val="16"/>
                <w:szCs w:val="16"/>
                <w:shd w:fill="EEF0F3" w:color="auto" w:val="clear"/>
              </w:rPr>
              <w:t xml:space="preserve">@utils.setVariables</w:t>
            </w:r>
            <w:r>
              <w:rPr>
                <w:b w:val="false"/>
                <w:bCs w:val="false"/>
                <w:sz w:val="17"/>
                <w:szCs w:val="17"/>
              </w:rPr>
              <w:t xml:space="preserve">, which is never exposed for gate variables</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F8</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A3</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A2A described with Outbound and Inbound from the interoperability guide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F9</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SV2, 13 B6</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Coverage on standard objects.</w:t>
            </w:r>
            <w:r>
              <w:rPr>
                <w:b w:val="false"/>
                <w:bCs w:val="false"/>
                <w:sz w:val="17"/>
                <w:szCs w:val="17"/>
              </w:rPr>
              <w:t xml:space="preserve"> The wealth design used an Apex sharing reason, which works only on custom objects. Coverage now uses the sharing reason on </w:t>
            </w: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and Opportunity Team membership on deals. Broker deals are shared through manual shares that a trigger re-creates on owner change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F10</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EX2</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sharing set can't follow </w:t>
            </w:r>
            <w:r>
              <w:rPr>
                <w:rFonts w:ascii="Consolas" w:cs="Consolas" w:eastAsia="Consolas" w:hAnsi="Consolas"/>
                <w:b w:val="false"/>
                <w:bCs w:val="false"/>
                <w:sz w:val="16"/>
                <w:szCs w:val="16"/>
                <w:shd w:fill="EEF0F3" w:color="auto" w:val="clear"/>
              </w:rPr>
              <w:t xml:space="preserve">Loan_Party__c</w:t>
            </w:r>
            <w:r>
              <w:rPr>
                <w:b w:val="false"/>
                <w:bCs w:val="false"/>
                <w:sz w:val="17"/>
                <w:szCs w:val="17"/>
              </w:rPr>
              <w:t xml:space="preserve">, and high-volume portal users are outside the sharing model; the options for split households are in ADR-042</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F11</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00a §6</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OWD is per object, not per record type; solicitor firms are opened by a sharing rule</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F12</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MG3, 15 SH1</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Date of birth moved to a custom </w:t>
            </w:r>
            <w:r>
              <w:rPr>
                <w:rFonts w:ascii="Consolas" w:cs="Consolas" w:eastAsia="Consolas" w:hAnsi="Consolas"/>
                <w:b w:val="false"/>
                <w:bCs w:val="false"/>
                <w:sz w:val="16"/>
                <w:szCs w:val="16"/>
                <w:shd w:fill="EEF0F3" w:color="auto" w:val="clear"/>
              </w:rPr>
              <w:t xml:space="preserve">Date_of_Birth__c</w:t>
            </w:r>
            <w:r>
              <w:rPr>
                <w:b w:val="false"/>
                <w:bCs w:val="false"/>
                <w:sz w:val="17"/>
                <w:szCs w:val="17"/>
              </w:rPr>
              <w:t xml:space="preserve"> field, because the standard Birthdate field isn't encryptable; </w:t>
            </w:r>
            <w:r>
              <w:rPr>
                <w:rFonts w:ascii="Consolas" w:cs="Consolas" w:eastAsia="Consolas" w:hAnsi="Consolas"/>
                <w:b w:val="false"/>
                <w:bCs w:val="false"/>
                <w:sz w:val="16"/>
                <w:szCs w:val="16"/>
                <w:shd w:fill="EEF0F3" w:color="auto" w:val="clear"/>
              </w:rPr>
              <w:t xml:space="preserve">SIN__c</w:t>
            </w:r>
            <w:r>
              <w:rPr>
                <w:b w:val="false"/>
                <w:bCs w:val="false"/>
                <w:sz w:val="17"/>
                <w:szCs w:val="17"/>
              </w:rPr>
              <w:t xml:space="preserve"> (classic encryption) vs Platform Encryption is now an ADR-045 decision</w:t>
            </w:r>
          </w:p>
        </w:tc>
      </w:tr>
      <w:tr>
        <w:trPr>
          <w:cantSplit/>
        </w:trPr>
        <w:tc>
          <w:tcPr>
            <w:tcW w:type="dxa" w:w="6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F13</w:t>
            </w:r>
          </w:p>
        </w:tc>
        <w:tc>
          <w:tcPr>
            <w:tcW w:type="dxa" w:w="10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MG4</w:t>
            </w:r>
          </w:p>
        </w:tc>
        <w:tc>
          <w:tcPr>
            <w:tcW w:type="dxa" w:w="83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After a migration, qualification re-runs only for undecided deals; for committed deals it runs as a comparison for an underwriter, so decided figures aren't overwritten</w:t>
            </w:r>
          </w:p>
        </w:tc>
      </w:tr>
    </w:tbl>
    <w:p>
      <w:pPr>
        <w:spacing w:after="120"/>
      </w:pPr>
    </w:p>
    <w:p>
      <w:pPr>
        <w:pStyle w:val="Heading2"/>
      </w:pPr>
      <w:r>
        <w:t xml:space="preserve">8.6 New items to confirm in a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62"/>
        <w:gridCol w:w="1241"/>
        <w:gridCol w:w="3177"/>
      </w:tblGrid>
      <w:tr>
        <w:trPr>
          <w:cantSplit/>
          <w:tblHeader/>
        </w:trPr>
        <w:tc>
          <w:tcPr>
            <w:tcW w:type="dxa" w:w="56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Item</w:t>
            </w:r>
          </w:p>
        </w:tc>
        <w:tc>
          <w:tcPr>
            <w:tcW w:type="dxa" w:w="124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c>
          <w:tcPr>
            <w:tcW w:type="dxa" w:w="31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it couldn't be confirmed here</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Whether restriction rules support Opportunity in your org</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SV1</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Object support varies</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default number of partner roles per account</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SV3, 13 B6</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Setting defaults vary</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Case.Description</w:t>
            </w:r>
            <w:r>
              <w:rPr>
                <w:b w:val="false"/>
                <w:bCs w:val="false"/>
                <w:sz w:val="17"/>
                <w:szCs w:val="17"/>
              </w:rPr>
              <w:t xml:space="preserve"> on the encryptable list; moving </w:t>
            </w:r>
            <w:r>
              <w:rPr>
                <w:rFonts w:ascii="Consolas" w:cs="Consolas" w:eastAsia="Consolas" w:hAnsi="Consolas"/>
                <w:b w:val="false"/>
                <w:bCs w:val="false"/>
                <w:sz w:val="16"/>
                <w:szCs w:val="16"/>
                <w:shd w:fill="EEF0F3" w:color="auto" w:val="clear"/>
              </w:rPr>
              <w:t xml:space="preserve">SIN__c</w:t>
            </w:r>
            <w:r>
              <w:rPr>
                <w:b w:val="false"/>
                <w:bCs w:val="false"/>
                <w:sz w:val="17"/>
                <w:szCs w:val="17"/>
              </w:rPr>
              <w:t xml:space="preserve"> off classic encryption</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SH1</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Lists change by release</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Connect adapter for Amazon Athena licensing</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DM6</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Licence-dependent</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When each FINTRAC record's retention clock starts</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GV5</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Confirm with Compliance</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privacy-deletion APIs and session-trace retention</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GV4</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surface changes</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Whether Model Risk treats the deterministic qualification service as a model under E-23</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 GV8</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internal policy decision</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Insurer and bureau production authentication and asynchronous insurer responses</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§4.11, INT-30</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Contract-specific</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connected_subagent</w:t>
            </w:r>
            <w:r>
              <w:rPr>
                <w:b w:val="false"/>
                <w:bCs w:val="false"/>
                <w:sz w:val="17"/>
                <w:szCs w:val="17"/>
              </w:rPr>
              <w:t xml:space="preserve"> (Beta), A2A orchestration (pilot), </w:t>
            </w:r>
            <w:r>
              <w:rPr>
                <w:rFonts w:ascii="Consolas" w:cs="Consolas" w:eastAsia="Consolas" w:hAnsi="Consolas"/>
                <w:b w:val="false"/>
                <w:bCs w:val="false"/>
                <w:sz w:val="16"/>
                <w:szCs w:val="16"/>
                <w:shd w:fill="EEF0F3" w:color="auto" w:val="clear"/>
              </w:rPr>
              <w:t xml:space="preserve">sf agent test run-eval</w:t>
            </w:r>
            <w:r>
              <w:rPr>
                <w:b w:val="false"/>
                <w:bCs w:val="false"/>
                <w:sz w:val="17"/>
                <w:szCs w:val="17"/>
              </w:rPr>
              <w:t xml:space="preserve"> (Beta), </w:t>
            </w:r>
            <w:r>
              <w:rPr>
                <w:rFonts w:ascii="Consolas" w:cs="Consolas" w:eastAsia="Consolas" w:hAnsi="Consolas"/>
                <w:b w:val="false"/>
                <w:bCs w:val="false"/>
                <w:sz w:val="16"/>
                <w:szCs w:val="16"/>
                <w:shd w:fill="EEF0F3" w:color="auto" w:val="clear"/>
              </w:rPr>
              <w:t xml:space="preserve">sf agent mcp</w:t>
            </w:r>
            <w:r>
              <w:rPr>
                <w:b w:val="false"/>
                <w:bCs w:val="false"/>
                <w:sz w:val="17"/>
                <w:szCs w:val="17"/>
              </w:rPr>
              <w:t xml:space="preserve"> (Developer Preview)</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AX2, AX4, AX6</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Availability is staged</w:t>
            </w:r>
          </w:p>
        </w:tc>
      </w:tr>
      <w:tr>
        <w:trPr>
          <w:cantSplit/>
        </w:trPr>
        <w:tc>
          <w:tcPr>
            <w:tcW w:type="dxa" w:w="56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CMHC premium schedule and Sagen surcharge at the time you build</w:t>
            </w:r>
          </w:p>
        </w:tc>
        <w:tc>
          <w:tcPr>
            <w:tcW w:type="dxa" w:w="12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05</w:t>
            </w:r>
          </w:p>
        </w:tc>
        <w:tc>
          <w:tcPr>
            <w:tcW w:type="dxa" w:w="31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parameters are versioned for this reason</w:t>
            </w:r>
          </w:p>
        </w:tc>
      </w:tr>
    </w:tbl>
    <w:p>
      <w:pPr>
        <w:spacing w:after="120"/>
      </w:pPr>
    </w:p>
    <w:p>
      <w:pPr>
        <w:pStyle w:val="Heading2"/>
      </w:pPr>
      <w:r>
        <w:t xml:space="preserve">8.7 Module 17 — token and cost optimization (October 19, 2026)</w:t>
      </w:r>
    </w:p>
    <w:p>
      <w:pPr>
        <w:spacing w:after="120"/>
      </w:pPr>
      <w:r>
        <w:t xml:space="preserve">Added at Param's request as Module 17, </w:t>
      </w:r>
      <w:r>
        <w:rPr>
          <w:i/>
          <w:iCs/>
        </w:rPr>
        <w:t xml:space="preserve">Agent Engineering Depth: Token and Cost Optimization</w:t>
      </w:r>
      <w:r>
        <w:t xml:space="preserve"> (labs TC0–TC8, ADR-053), with its code in </w:t>
      </w:r>
      <w:r>
        <w:rPr>
          <w:rFonts w:ascii="Consolas" w:cs="Consolas" w:eastAsia="Consolas" w:hAnsi="Consolas"/>
          <w:sz w:val="19"/>
          <w:szCs w:val="19"/>
          <w:shd w:fill="EEF0F3" w:color="auto" w:val="clear"/>
        </w:rPr>
        <w:t xml:space="preserve">code/17-agent-engineering/</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8"/>
        <w:gridCol w:w="904"/>
        <w:gridCol w:w="2618"/>
      </w:tblGrid>
      <w:tr>
        <w:trPr>
          <w:cantSplit/>
          <w:tblHeader/>
        </w:trPr>
        <w:tc>
          <w:tcPr>
            <w:tcW w:type="dxa" w:w="65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Claim</w:t>
            </w:r>
          </w:p>
        </w:tc>
        <w:tc>
          <w:tcPr>
            <w:tcW w:type="dxa" w:w="90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 in</w:t>
            </w:r>
          </w:p>
        </w:tc>
        <w:tc>
          <w:tcPr>
            <w:tcW w:type="dxa" w:w="26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65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Bedrock prompt caching: </w:t>
            </w:r>
            <w:r>
              <w:rPr>
                <w:rFonts w:ascii="Consolas" w:cs="Consolas" w:eastAsia="Consolas" w:hAnsi="Consolas"/>
                <w:b w:val="false"/>
                <w:bCs w:val="false"/>
                <w:sz w:val="16"/>
                <w:szCs w:val="16"/>
                <w:shd w:fill="EEF0F3" w:color="auto" w:val="clear"/>
              </w:rPr>
              <w:t xml:space="preserve">cachePoint</w:t>
            </w:r>
            <w:r>
              <w:rPr>
                <w:b w:val="false"/>
                <w:bCs w:val="false"/>
                <w:sz w:val="17"/>
                <w:szCs w:val="17"/>
              </w:rPr>
              <w:t xml:space="preserve"> blocks in </w:t>
            </w:r>
            <w:r>
              <w:rPr>
                <w:rFonts w:ascii="Consolas" w:cs="Consolas" w:eastAsia="Consolas" w:hAnsi="Consolas"/>
                <w:b w:val="false"/>
                <w:bCs w:val="false"/>
                <w:sz w:val="16"/>
                <w:szCs w:val="16"/>
                <w:shd w:fill="EEF0F3" w:color="auto" w:val="clear"/>
              </w:rPr>
              <w:t xml:space="preserve">tools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system</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messages</w:t>
            </w:r>
            <w:r>
              <w:rPr>
                <w:b w:val="false"/>
                <w:bCs w:val="false"/>
                <w:sz w:val="17"/>
                <w:szCs w:val="17"/>
              </w:rPr>
              <w:t xml:space="preserve">, processed in that order; up to 4 checkpoints for Claude models; a minimum prefix of 512 to 4,096 tokens depending on the model; 5-minute default lifetime, reset on each hit, 1 hour on some models; </w:t>
            </w:r>
            <w:r>
              <w:rPr>
                <w:rFonts w:ascii="Consolas" w:cs="Consolas" w:eastAsia="Consolas" w:hAnsi="Consolas"/>
                <w:b w:val="false"/>
                <w:bCs w:val="false"/>
                <w:sz w:val="16"/>
                <w:szCs w:val="16"/>
                <w:shd w:fill="EEF0F3" w:color="auto" w:val="clear"/>
              </w:rPr>
              <w:t xml:space="preserve">cacheReadInputTokens</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cacheWriteInputTokens</w:t>
            </w:r>
            <w:r>
              <w:rPr>
                <w:b w:val="false"/>
                <w:bCs w:val="false"/>
                <w:sz w:val="17"/>
                <w:szCs w:val="17"/>
              </w:rPr>
              <w:t xml:space="preserve"> in the usage, and </w:t>
            </w:r>
            <w:r>
              <w:rPr>
                <w:rFonts w:ascii="Consolas" w:cs="Consolas" w:eastAsia="Consolas" w:hAnsi="Consolas"/>
                <w:b w:val="false"/>
                <w:bCs w:val="false"/>
                <w:sz w:val="16"/>
                <w:szCs w:val="16"/>
                <w:shd w:fill="EEF0F3" w:color="auto" w:val="clear"/>
              </w:rPr>
              <w:t xml:space="preserve">inputTokens</w:t>
            </w:r>
            <w:r>
              <w:rPr>
                <w:b w:val="false"/>
                <w:bCs w:val="false"/>
                <w:sz w:val="17"/>
                <w:szCs w:val="17"/>
              </w:rPr>
              <w:t xml:space="preserve"> excludes cached tokens; not available in batch inference</w:t>
            </w:r>
          </w:p>
        </w:tc>
        <w:tc>
          <w:tcPr>
            <w:tcW w:type="dxa" w:w="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TC0, TC2, TC6</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Amazon Bedrock User Guide, </w:t>
            </w:r>
            <w:r>
              <w:rPr>
                <w:b w:val="false"/>
                <w:bCs w:val="false"/>
                <w:i/>
                <w:iCs/>
                <w:sz w:val="17"/>
                <w:szCs w:val="17"/>
              </w:rPr>
              <w:t xml:space="preserve">Prompt caching for faster model inference</w:t>
            </w:r>
          </w:p>
        </w:tc>
      </w:tr>
      <w:tr>
        <w:trPr>
          <w:cantSplit/>
        </w:trPr>
        <w:tc>
          <w:tcPr>
            <w:tcW w:type="dxa" w:w="65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Bedrock CountTokens: free, returns the billed input-token count, support varies by model</w:t>
            </w:r>
          </w:p>
        </w:tc>
        <w:tc>
          <w:tcPr>
            <w:tcW w:type="dxa" w:w="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TC0</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Amazon Bedrock User Guide, </w:t>
            </w:r>
            <w:r>
              <w:rPr>
                <w:b w:val="false"/>
                <w:bCs w:val="false"/>
                <w:i/>
                <w:iCs/>
                <w:sz w:val="17"/>
                <w:szCs w:val="17"/>
              </w:rPr>
              <w:t xml:space="preserve">Monitor your token usage by counting tokens</w:t>
            </w:r>
          </w:p>
        </w:tc>
      </w:tr>
      <w:tr>
        <w:trPr>
          <w:cantSplit/>
        </w:trPr>
        <w:tc>
          <w:tcPr>
            <w:tcW w:type="dxa" w:w="65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Bedrock batch inference priced 50% below on-demand for supported models</w:t>
            </w:r>
          </w:p>
        </w:tc>
        <w:tc>
          <w:tcPr>
            <w:tcW w:type="dxa" w:w="9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TC6</w:t>
            </w:r>
          </w:p>
        </w:tc>
        <w:tc>
          <w:tcPr>
            <w:tcW w:type="dxa" w:w="26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What's New (August 2024)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41"/>
        <w:gridCol w:w="2646"/>
        <w:gridCol w:w="2793"/>
      </w:tblGrid>
      <w:tr>
        <w:trPr>
          <w:cantSplit/>
          <w:tblHeader/>
        </w:trPr>
        <w:tc>
          <w:tcPr>
            <w:tcW w:type="dxa" w:w="464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Code</w:t>
            </w:r>
          </w:p>
        </w:tc>
        <w:tc>
          <w:tcPr>
            <w:tcW w:type="dxa" w:w="26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c>
          <w:tcPr>
            <w:tcW w:type="dxa" w:w="27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Result</w:t>
            </w:r>
          </w:p>
        </w:tc>
      </w:tr>
      <w:tr>
        <w:trPr>
          <w:cantSplit/>
        </w:trPr>
        <w:tc>
          <w:tcPr>
            <w:tcW w:type="dxa" w:w="46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costlab</w:t>
            </w:r>
            <w:r>
              <w:rPr>
                <w:b w:val="false"/>
                <w:bCs w:val="false"/>
                <w:sz w:val="17"/>
                <w:szCs w:val="17"/>
              </w:rPr>
              <w:t xml:space="preserve"> (prices, meter, report, cache, context, router, Bedrock wrapper with a stub client, evaluate, batch, gate)</w:t>
            </w:r>
          </w:p>
        </w:tc>
        <w:tc>
          <w:tcPr>
            <w:tcW w:type="dxa" w:w="26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tests/test_costlab.py</w:t>
            </w:r>
            <w:r>
              <w:rPr>
                <w:b w:val="false"/>
                <w:bCs w:val="false"/>
                <w:sz w:val="17"/>
                <w:szCs w:val="17"/>
              </w:rPr>
              <w:t xml:space="preserve">, 10 cases</w:t>
            </w:r>
          </w:p>
        </w:tc>
        <w:tc>
          <w:tcPr>
            <w:tcW w:type="dxa" w:w="2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 The guide's code blocks are copies of the tested files</w:t>
            </w:r>
          </w:p>
        </w:tc>
      </w:tr>
    </w:tbl>
    <w:p>
      <w:pPr>
        <w:spacing w:after="120"/>
      </w:pPr>
    </w:p>
    <w:p>
      <w:pPr>
        <w:spacing w:after="120"/>
      </w:pPr>
      <w:r>
        <w:t xml:space="preserve">New items to confirm: CountTokens support and the caching minimum for the models you pick; batch support and minimum record count for your model; current Flex Credit pricing (TC7).</w:t>
      </w:r>
    </w:p>
    <w:p>
      <w:pPr>
        <w:spacing w:after="120"/>
      </w:pPr>
      <w:r>
        <w:rPr>
          <w:b/>
          <w:bCs/>
        </w:rPr>
        <w:t xml:space="preserve">Extension: platform cost (PC0–PC6), the same day.</w:t>
      </w:r>
      <w:r>
        <w:t xml:space="preserve"> At Param's request Module 17 now also covers the estate's platform costs, with how to track and how to limit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849"/>
        <w:gridCol w:w="3183"/>
      </w:tblGrid>
      <w:tr>
        <w:trPr>
          <w:cantSplit/>
          <w:tblHeader/>
        </w:trPr>
        <w:tc>
          <w:tcPr>
            <w:tcW w:type="dxa" w:w="60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Claim</w:t>
            </w:r>
          </w:p>
        </w:tc>
        <w:tc>
          <w:tcPr>
            <w:tcW w:type="dxa" w:w="8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Used in</w:t>
            </w:r>
          </w:p>
        </w:tc>
        <w:tc>
          <w:tcPr>
            <w:tcW w:type="dxa" w:w="31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r>
      <w:tr>
        <w:trPr>
          <w:cantSplit/>
        </w:trPr>
        <w:tc>
          <w:tcPr>
            <w:tcW w:type="dxa" w:w="6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Digital Wallet tracks Agentforce Flex Credits, Data 360 consumption and other consumption products in near real time, with threshold alerts, breakdowns by agent, action and channel, custom tags, and licence utilization; it opens from App Launcher and is free with an enabled product</w:t>
            </w:r>
          </w:p>
        </w:tc>
        <w:tc>
          <w:tcPr>
            <w:tcW w:type="dxa" w:w="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PC0, PC3, PC4</w:t>
            </w:r>
          </w:p>
        </w:tc>
        <w:tc>
          <w:tcPr>
            <w:tcW w:type="dxa" w:w="3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val="false"/>
                <w:bCs w:val="false"/>
                <w:i/>
                <w:iCs/>
                <w:sz w:val="17"/>
                <w:szCs w:val="17"/>
              </w:rPr>
              <w:t xml:space="preserve">Digital Wallet</w:t>
            </w:r>
          </w:p>
        </w:tc>
      </w:tr>
      <w:tr>
        <w:trPr>
          <w:cantSplit/>
        </w:trPr>
        <w:tc>
          <w:tcPr>
            <w:tcW w:type="dxa" w:w="6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usage-based metrics: flows with an event source or APIkit routing count while running; a month's flows are the highest count in any hour times workers or replicas; one counted message per event-source trigger; data throughput includes monitoring, logs and health checks</w:t>
            </w:r>
          </w:p>
        </w:tc>
        <w:tc>
          <w:tcPr>
            <w:tcW w:type="dxa" w:w="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PC5</w:t>
            </w:r>
          </w:p>
        </w:tc>
        <w:tc>
          <w:tcPr>
            <w:tcW w:type="dxa" w:w="3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documentation, </w:t>
            </w:r>
            <w:r>
              <w:rPr>
                <w:b w:val="false"/>
                <w:bCs w:val="false"/>
                <w:i/>
                <w:iCs/>
                <w:sz w:val="17"/>
                <w:szCs w:val="17"/>
              </w:rPr>
              <w:t xml:space="preserve">Pricing metrics</w:t>
            </w:r>
          </w:p>
        </w:tc>
      </w:tr>
      <w:tr>
        <w:trPr>
          <w:cantSplit/>
        </w:trPr>
        <w:tc>
          <w:tcPr>
            <w:tcW w:type="dxa" w:w="6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Anypoint Usage Reports: root org, Usage Viewer permission, daily and monthly reports with CSV export, refreshed twice a day, UTC, last 3 days may change; Usage API; automatic alerts at 80% and 90% of entitlement to the billing contact</w:t>
            </w:r>
          </w:p>
        </w:tc>
        <w:tc>
          <w:tcPr>
            <w:tcW w:type="dxa" w:w="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PC5</w:t>
            </w:r>
          </w:p>
        </w:tc>
        <w:tc>
          <w:tcPr>
            <w:tcW w:type="dxa" w:w="3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documentation, </w:t>
            </w:r>
            <w:r>
              <w:rPr>
                <w:b w:val="false"/>
                <w:bCs w:val="false"/>
                <w:i/>
                <w:iCs/>
                <w:sz w:val="17"/>
                <w:szCs w:val="17"/>
              </w:rPr>
              <w:t xml:space="preserve">Usage reports</w:t>
            </w:r>
          </w:p>
        </w:tc>
      </w:tr>
      <w:tr>
        <w:trPr>
          <w:cantSplit/>
        </w:trPr>
        <w:tc>
          <w:tcPr>
            <w:tcW w:type="dxa" w:w="60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credits are charged per service and volume, with streaming and identity resolution among the costliest per row; Digital Wallet consumption cards by usage type and org</w:t>
            </w:r>
          </w:p>
        </w:tc>
        <w:tc>
          <w:tcPr>
            <w:tcW w:type="dxa" w:w="8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 PC3</w:t>
            </w:r>
          </w:p>
        </w:tc>
        <w:tc>
          <w:tcPr>
            <w:tcW w:type="dxa" w:w="3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Third-party guide (Jitendra Zaa, March 2026) and Salesforce Digital Wallet page ⚠ rates vary by contract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69"/>
        <w:gridCol w:w="3229"/>
        <w:gridCol w:w="982"/>
      </w:tblGrid>
      <w:tr>
        <w:trPr>
          <w:cantSplit/>
          <w:tblHeader/>
        </w:trPr>
        <w:tc>
          <w:tcPr>
            <w:tcW w:type="dxa" w:w="586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Code</w:t>
            </w:r>
          </w:p>
        </w:tc>
        <w:tc>
          <w:tcPr>
            <w:tcW w:type="dxa" w:w="322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c>
          <w:tcPr>
            <w:tcW w:type="dxa" w:w="9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Result</w:t>
            </w:r>
          </w:p>
        </w:tc>
      </w:tr>
      <w:tr>
        <w:trPr>
          <w:cantSplit/>
        </w:trPr>
        <w:tc>
          <w:tcPr>
            <w:tcW w:type="dxa" w:w="58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costlab/estate.py</w:t>
            </w:r>
            <w:r>
              <w:rPr>
                <w:b w:val="false"/>
                <w:bCs w:val="false"/>
                <w:sz w:val="17"/>
                <w:szCs w:val="17"/>
              </w:rPr>
              <w:t xml:space="preserve"> (CAD conversion and allocation to business drivers) and </w:t>
            </w:r>
            <w:r>
              <w:rPr>
                <w:rFonts w:ascii="Consolas" w:cs="Consolas" w:eastAsia="Consolas" w:hAnsi="Consolas"/>
                <w:b w:val="false"/>
                <w:bCs w:val="false"/>
                <w:sz w:val="16"/>
                <w:szCs w:val="16"/>
                <w:shd w:fill="EEF0F3" w:color="auto" w:val="clear"/>
              </w:rPr>
              <w:t xml:space="preserve">costlab/aws_costs.py</w:t>
            </w:r>
            <w:r>
              <w:rPr>
                <w:b w:val="false"/>
                <w:bCs w:val="false"/>
                <w:sz w:val="17"/>
                <w:szCs w:val="17"/>
              </w:rPr>
              <w:t xml:space="preserve"> (Cost Explorer by tag, paging, untagged spend)</w:t>
            </w:r>
          </w:p>
        </w:tc>
        <w:tc>
          <w:tcPr>
            <w:tcW w:type="dxa" w:w="3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more cases in </w:t>
            </w:r>
            <w:r>
              <w:rPr>
                <w:rFonts w:ascii="Consolas" w:cs="Consolas" w:eastAsia="Consolas" w:hAnsi="Consolas"/>
                <w:b w:val="false"/>
                <w:bCs w:val="false"/>
                <w:sz w:val="16"/>
                <w:szCs w:val="16"/>
                <w:shd w:fill="EEF0F3" w:color="auto" w:val="clear"/>
              </w:rPr>
              <w:t xml:space="preserve">tests/test_costlab.py</w:t>
            </w:r>
            <w:r>
              <w:rPr>
                <w:b w:val="false"/>
                <w:bCs w:val="false"/>
                <w:sz w:val="17"/>
                <w:szCs w:val="17"/>
              </w:rPr>
              <w:t xml:space="preserve"> (12 in total)</w:t>
            </w:r>
          </w:p>
        </w:tc>
        <w:tc>
          <w:tcPr>
            <w:tcW w:type="dxa" w:w="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Pass</w:t>
            </w:r>
          </w:p>
        </w:tc>
      </w:tr>
    </w:tbl>
    <w:p>
      <w:pPr>
        <w:spacing w:after="120"/>
      </w:pPr>
    </w:p>
    <w:p>
      <w:pPr>
        <w:pStyle w:val="Heading2"/>
      </w:pPr>
      <w:r>
        <w:t xml:space="preserve">8.8 Live org build check, Project 03 (October 25, 2026)</w:t>
      </w:r>
    </w:p>
    <w:p>
      <w:pPr>
        <w:spacing w:after="120"/>
      </w:pPr>
      <w:r>
        <w:t xml:space="preserve">The data model was clicked into a Developer Edition org, retrieved and compared field by field against </w:t>
      </w:r>
      <w:r>
        <w:rPr>
          <w:rFonts w:ascii="Consolas" w:cs="Consolas" w:eastAsia="Consolas" w:hAnsi="Consolas"/>
          <w:sz w:val="19"/>
          <w:szCs w:val="19"/>
          <w:shd w:fill="EEF0F3" w:color="auto" w:val="clear"/>
        </w:rPr>
        <w:t xml:space="preserve">code/03-data-model/datamodel.py</w:t>
      </w:r>
      <w:r>
        <w:t xml:space="preserve">, then repaired through the Salesforce DX MCP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51"/>
        <w:gridCol w:w="5029"/>
      </w:tblGrid>
      <w:tr>
        <w:trPr>
          <w:cantSplit/>
          <w:tblHeader/>
        </w:trPr>
        <w:tc>
          <w:tcPr>
            <w:tcW w:type="dxa" w:w="50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Finding</w:t>
            </w:r>
          </w:p>
        </w:tc>
        <w:tc>
          <w:tcPr>
            <w:tcW w:type="dxa" w:w="502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API names ended in </w:t>
            </w:r>
            <w:r>
              <w:rPr>
                <w:rFonts w:ascii="Consolas" w:cs="Consolas" w:eastAsia="Consolas" w:hAnsi="Consolas"/>
                <w:b w:val="false"/>
                <w:bCs w:val="false"/>
                <w:sz w:val="16"/>
                <w:szCs w:val="16"/>
                <w:shd w:fill="EEF0F3" w:color="auto" w:val="clear"/>
              </w:rPr>
              <w:t xml:space="preserve">_c__c</w:t>
            </w:r>
            <w:r>
              <w:rPr>
                <w:b w:val="false"/>
                <w:bCs w:val="false"/>
                <w:sz w:val="17"/>
                <w:szCs w:val="17"/>
              </w:rPr>
              <w:t xml:space="preserve"> (label typed as </w:t>
            </w:r>
            <w:r>
              <w:rPr>
                <w:rFonts w:ascii="Consolas" w:cs="Consolas" w:eastAsia="Consolas" w:hAnsi="Consolas"/>
                <w:b w:val="false"/>
                <w:bCs w:val="false"/>
                <w:sz w:val="16"/>
                <w:szCs w:val="16"/>
                <w:shd w:fill="EEF0F3" w:color="auto" w:val="clear"/>
              </w:rPr>
              <w:t xml:space="preserve">Name__c</w:t>
            </w:r>
            <w:r>
              <w:rPr>
                <w:b w:val="false"/>
                <w:bCs w:val="false"/>
                <w:sz w:val="17"/>
                <w:szCs w:val="17"/>
              </w:rPr>
              <w:t xml:space="preserve">), one was </w:t>
            </w:r>
            <w:r>
              <w:rPr>
                <w:rFonts w:ascii="Consolas" w:cs="Consolas" w:eastAsia="Consolas" w:hAnsi="Consolas"/>
                <w:b w:val="false"/>
                <w:bCs w:val="false"/>
                <w:sz w:val="16"/>
                <w:szCs w:val="16"/>
                <w:shd w:fill="EEF0F3" w:color="auto" w:val="clear"/>
              </w:rPr>
              <w:t xml:space="preserve">PurchasePrice__c</w:t>
            </w:r>
            <w:r>
              <w:rPr>
                <w:b w:val="false"/>
                <w:bCs w:val="false"/>
                <w:sz w:val="17"/>
                <w:szCs w:val="17"/>
              </w:rPr>
              <w:t xml:space="preserve">, one lookup was </w:t>
            </w:r>
            <w:r>
              <w:rPr>
                <w:rFonts w:ascii="Consolas" w:cs="Consolas" w:eastAsia="Consolas" w:hAnsi="Consolas"/>
                <w:b w:val="false"/>
                <w:bCs w:val="false"/>
                <w:sz w:val="16"/>
                <w:szCs w:val="16"/>
                <w:shd w:fill="EEF0F3" w:color="auto" w:val="clear"/>
              </w:rPr>
              <w:t xml:space="preserve">Contact__c</w:t>
            </w:r>
            <w:r>
              <w:rPr>
                <w:b w:val="false"/>
                <w:bCs w:val="false"/>
                <w:sz w:val="17"/>
                <w:szCs w:val="17"/>
              </w:rPr>
              <w:t xml:space="preserve"> instead of </w:t>
            </w:r>
            <w:r>
              <w:rPr>
                <w:rFonts w:ascii="Consolas" w:cs="Consolas" w:eastAsia="Consolas" w:hAnsi="Consolas"/>
                <w:b w:val="false"/>
                <w:bCs w:val="false"/>
                <w:sz w:val="16"/>
                <w:szCs w:val="16"/>
                <w:shd w:fill="EEF0F3" w:color="auto" w:val="clear"/>
              </w:rPr>
              <w:t xml:space="preserve">Borrower__c</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fields deployed; LTV formula and two roll-ups repointed; old fields listed in </w:t>
            </w:r>
            <w:r>
              <w:rPr>
                <w:rFonts w:ascii="Consolas" w:cs="Consolas" w:eastAsia="Consolas" w:hAnsi="Consolas"/>
                <w:b w:val="false"/>
                <w:bCs w:val="false"/>
                <w:sz w:val="16"/>
                <w:szCs w:val="16"/>
                <w:shd w:fill="EEF0F3" w:color="auto" w:val="clear"/>
              </w:rPr>
              <w:t xml:space="preserve">fixes/fix-01/manifest/destructiveChanges.xml</w:t>
            </w:r>
            <w:r>
              <w:rPr>
                <w:b w:val="false"/>
                <w:bCs w:val="false"/>
                <w:sz w:val="17"/>
                <w:szCs w:val="17"/>
              </w:rPr>
              <w:t xml:space="preserve"> (no records held data)</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Record names were Text, with separate auto-number fields beside them</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Name fields switched to Auto Number by deploy; the extra fields listed for deletion</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Five Case support processes, no Case record types</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Four record types on </w:t>
            </w:r>
            <w:r>
              <w:rPr>
                <w:rFonts w:ascii="Consolas" w:cs="Consolas" w:eastAsia="Consolas" w:hAnsi="Consolas"/>
                <w:b w:val="false"/>
                <w:bCs w:val="false"/>
                <w:sz w:val="16"/>
                <w:szCs w:val="16"/>
                <w:shd w:fill="EEF0F3" w:color="auto" w:val="clear"/>
              </w:rPr>
              <w:t xml:space="preserve">Borrower Service</w:t>
            </w:r>
            <w:r>
              <w:rPr>
                <w:b w:val="false"/>
                <w:bCs w:val="false"/>
                <w:sz w:val="17"/>
                <w:szCs w:val="17"/>
              </w:rPr>
              <w:t xml:space="preserve">; the other four support processes deactivated</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Account.Core_Household_Id__c</w:t>
            </w:r>
            <w:r>
              <w:rPr>
                <w:b w:val="false"/>
                <w:bCs w:val="false"/>
                <w:sz w:val="17"/>
                <w:szCs w:val="17"/>
              </w:rPr>
              <w:t xml:space="preserve"> missing</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Deployed</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Generator bug: </w:t>
            </w:r>
            <w:r>
              <w:rPr>
                <w:rFonts w:ascii="Consolas" w:cs="Consolas" w:eastAsia="Consolas" w:hAnsi="Consolas"/>
                <w:b w:val="false"/>
                <w:bCs w:val="false"/>
                <w:sz w:val="16"/>
                <w:szCs w:val="16"/>
                <w:shd w:fill="EEF0F3" w:color="auto" w:val="clear"/>
              </w:rPr>
              <w:t xml:space="preserve">Apex_Data_Model_2</w:t>
            </w:r>
            <w:r>
              <w:rPr>
                <w:b w:val="false"/>
                <w:bCs w:val="false"/>
                <w:sz w:val="17"/>
                <w:szCs w:val="17"/>
              </w:rPr>
              <w:t xml:space="preserve"> granted Read on master-detail children without Read on Opportunity, so the deploy failed</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datamodel.py</w:t>
            </w:r>
            <w:r>
              <w:rPr>
                <w:b w:val="false"/>
                <w:bCs w:val="false"/>
                <w:sz w:val="17"/>
                <w:szCs w:val="17"/>
              </w:rPr>
              <w:t xml:space="preserve"> now adds read-only parent permissions; package regenerated</w:t>
            </w:r>
          </w:p>
        </w:tc>
      </w:tr>
      <w:tr>
        <w:trPr>
          <w:cantSplit/>
        </w:trPr>
        <w:tc>
          <w:tcPr>
            <w:tcW w:type="dxa" w:w="50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Guide gap: nothing warned about label vs field name, record name vs auto-number field, support process vs record type</w:t>
            </w:r>
          </w:p>
        </w:tc>
        <w:tc>
          <w:tcPr>
            <w:tcW w:type="dxa" w:w="50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§0.3 now has a "Three slips" callout and a "Check your build" step</w:t>
            </w:r>
          </w:p>
        </w:tc>
      </w:tr>
    </w:tbl>
    <w:p>
      <w:pPr>
        <w:spacing w:after="120"/>
      </w:pPr>
    </w:p>
    <w:p>
      <w:pPr>
        <w:spacing w:after="120"/>
      </w:pPr>
      <w:r>
        <w:t xml:space="preserve">Still open in the org (guide steps not yet reached or small setting differences): </w:t>
      </w:r>
      <w:r>
        <w:rPr>
          <w:rFonts w:ascii="Consolas" w:cs="Consolas" w:eastAsia="Consolas" w:hAnsi="Consolas"/>
          <w:sz w:val="19"/>
          <w:szCs w:val="19"/>
          <w:shd w:fill="EEF0F3" w:color="auto" w:val="clear"/>
        </w:rPr>
        <w:t xml:space="preserve">Street__c</w:t>
      </w:r>
      <w:r>
        <w:t xml:space="preserve"> and </w:t>
      </w:r>
      <w:r>
        <w:rPr>
          <w:rFonts w:ascii="Consolas" w:cs="Consolas" w:eastAsia="Consolas" w:hAnsi="Consolas"/>
          <w:sz w:val="19"/>
          <w:szCs w:val="19"/>
          <w:shd w:fill="EEF0F3" w:color="auto" w:val="clear"/>
        </w:rPr>
        <w:t xml:space="preserve">City__c</w:t>
      </w:r>
      <w:r>
        <w:t xml:space="preserve"> length 20, </w:t>
      </w:r>
      <w:r>
        <w:rPr>
          <w:rFonts w:ascii="Consolas" w:cs="Consolas" w:eastAsia="Consolas" w:hAnsi="Consolas"/>
          <w:sz w:val="19"/>
          <w:szCs w:val="19"/>
          <w:shd w:fill="EEF0F3" w:color="auto" w:val="clear"/>
        </w:rPr>
        <w:t xml:space="preserve">Remaining_Amortization_Years__c</w:t>
      </w:r>
      <w:r>
        <w:t xml:space="preserve"> scale, </w:t>
      </w:r>
      <w:r>
        <w:rPr>
          <w:rFonts w:ascii="Consolas" w:cs="Consolas" w:eastAsia="Consolas" w:hAnsi="Consolas"/>
          <w:sz w:val="19"/>
          <w:szCs w:val="19"/>
          <w:shd w:fill="EEF0F3" w:color="auto" w:val="clear"/>
        </w:rPr>
        <w:t xml:space="preserve">Unified_Individual_Id__c</w:t>
      </w:r>
      <w:r>
        <w:t xml:space="preserve"> length, picklist defaults on Approval Request Status, Condition Status and Property Occupancy, history tracking on Condition, OWD still Public Read/Write.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Review log</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log — accuracy, clarity, and certification coverage (October 18–19, 2026)</dc:title>
  <dc:creator>Apex Home Lending programme</dc:creator>
  <dc:description>Generated from REVIEW-LOG.md</dc:description>
  <cp:lastModifiedBy>Un-named</cp:lastModifiedBy>
  <cp:revision>1</cp:revision>
  <dcterms:created xsi:type="dcterms:W3CDTF">2026-10-25T18:35:39.255Z</dcterms:created>
  <dcterms:modified xsi:type="dcterms:W3CDTF">2026-10-25T18:35:39.255Z</dcterms:modified>
</cp:coreProperties>
</file>

<file path=docProps/custom.xml><?xml version="1.0" encoding="utf-8"?>
<Properties xmlns="http://schemas.openxmlformats.org/officeDocument/2006/custom-properties" xmlns:vt="http://schemas.openxmlformats.org/officeDocument/2006/docPropsVTypes"/>
</file>