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Title"/>
      </w:pPr>
      <w:r>
        <w:t xml:space="preserve">Apex Home Lending — Mortgage Domain Primer &amp; Term Map</w:t>
      </w:r>
    </w:p>
    <w:p>
      <w:pPr>
        <w:spacing w:after="120"/>
      </w:pPr>
      <w:r>
        <w:rPr>
          <w:b/>
          <w:bCs/>
        </w:rPr>
        <w:t xml:space="preserve">Read this before Project 01.</w:t>
      </w:r>
      <w:r>
        <w:t xml:space="preserve"> It defines the business, the Canadian rules that shape the design, the people, the data and the vocabulary every guide uses.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1"/>
        <w:gridCol w:w="8599"/>
      </w:tblGrid>
      <w:tr>
        <w:trPr>
          <w:cantSplit/>
        </w:trPr>
        <w:tc>
          <w:tcPr>
            <w:tcW w:type="dxa" w:w="1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Scenario</w:t>
            </w:r>
          </w:p>
        </w:tc>
        <w:tc>
          <w:tcPr>
            <w:tcW w:type="dxa" w:w="85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Apex Home Lending</w:t>
            </w:r>
            <w:r>
              <w:rPr>
                <w:b w:val="false"/>
                <w:bCs w:val="false"/>
                <w:sz w:val="17"/>
                <w:szCs w:val="17"/>
              </w:rPr>
              <w:t xml:space="preserve"> — a fictional, federally regulated trust and loan company that originates and services residential mortgages in Canada</w:t>
            </w:r>
          </w:p>
        </w:tc>
      </w:tr>
      <w:tr>
        <w:trPr>
          <w:cantSplit/>
        </w:trPr>
        <w:tc>
          <w:tcPr>
            <w:tcW w:type="dxa" w:w="1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Why fictional</w:t>
            </w:r>
          </w:p>
        </w:tc>
        <w:tc>
          <w:tcPr>
            <w:tcW w:type="dxa" w:w="85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This is a portfolio project. Don't put a real employer's or client's name, data, architecture, orgs or documents into it, not even "anonymized". Everything here is invented and built in your own accounts</w:t>
            </w:r>
          </w:p>
        </w:tc>
      </w:tr>
      <w:tr>
        <w:trPr>
          <w:cantSplit/>
        </w:trPr>
        <w:tc>
          <w:tcPr>
            <w:tcW w:type="dxa" w:w="1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Edition</w:t>
            </w:r>
          </w:p>
        </w:tc>
        <w:tc>
          <w:tcPr>
            <w:tcW w:type="dxa" w:w="85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Mortgage edition (October 2026). It replaces the earlier wealth-management edition; §9 maps the old names to the new ones</w:t>
            </w:r>
          </w:p>
        </w:tc>
      </w:tr>
    </w:tbl>
    <w:p>
      <w:pPr>
        <w:spacing w:after="120"/>
      </w:pPr>
    </w:p>
    <w:p>
      <w:pPr>
        <w:pBdr>
          <w:left w:val="single" w:color="8EA9DB" w:sz="18" w:space="8"/>
        </w:pBdr>
        <w:shd w:fill="F5F8FC" w:color="auto" w:val="clear"/>
        <w:spacing w:after="120" w:before="60"/>
        <w:ind w:left="240"/>
      </w:pPr>
      <w:r>
        <w:t xml:space="preserve">Not legal advice. Regulations appear here as design drivers, and the dates were checked on October 18, 2026. Rules change, so re-check them before you rely on them in an interview or a real design. ⚠ marks anything that couldn't be confirmed from a primary source.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ContentsHeading"/>
      </w:pPr>
      <w:r>
        <w:t xml:space="preserve">Contents</w:t>
      </w:r>
    </w:p>
    <w:p>
      <w:pPr>
        <w:pStyle w:val="ContentsItem"/>
      </w:pPr>
      <w:hyperlink w:history="1" w:anchor="s1">
        <w:r>
          <w:rPr>
            <w:color w:val="0563C1"/>
          </w:rPr>
          <w:t xml:space="preserve">1. The company</w:t>
        </w:r>
      </w:hyperlink>
    </w:p>
    <w:p>
      <w:pPr>
        <w:pStyle w:val="ContentsItem"/>
      </w:pPr>
      <w:hyperlink w:history="1" w:anchor="s2">
        <w:r>
          <w:rPr>
            <w:color w:val="0563C1"/>
          </w:rPr>
          <w:t xml:space="preserve">2. The mortgage lifecycle</w:t>
        </w:r>
      </w:hyperlink>
    </w:p>
    <w:p>
      <w:pPr>
        <w:pStyle w:val="ContentsItem"/>
      </w:pPr>
      <w:hyperlink w:history="1" w:anchor="s3">
        <w:r>
          <w:rPr>
            <w:color w:val="0563C1"/>
          </w:rPr>
          <w:t xml:space="preserve">3. Glossary</w:t>
        </w:r>
      </w:hyperlink>
    </w:p>
    <w:p>
      <w:pPr>
        <w:pStyle w:val="ContentsItem"/>
      </w:pPr>
      <w:hyperlink w:history="1" w:anchor="s4">
        <w:r>
          <w:rPr>
            <w:color w:val="0563C1"/>
          </w:rPr>
          <w:t xml:space="preserve">4. Rules that shape the design</w:t>
        </w:r>
      </w:hyperlink>
    </w:p>
    <w:p>
      <w:pPr>
        <w:pStyle w:val="ContentsItem"/>
      </w:pPr>
      <w:hyperlink w:history="1" w:anchor="s5">
        <w:r>
          <w:rPr>
            <w:color w:val="0563C1"/>
          </w:rPr>
          <w:t xml:space="preserve">5. People and system identities</w:t>
        </w:r>
      </w:hyperlink>
    </w:p>
    <w:p>
      <w:pPr>
        <w:pStyle w:val="ContentsItem"/>
      </w:pPr>
      <w:hyperlink w:history="1" w:anchor="s6">
        <w:r>
          <w:rPr>
            <w:color w:val="0563C1"/>
          </w:rPr>
          <w:t xml:space="preserve">6. Data model</w:t>
        </w:r>
      </w:hyperlink>
    </w:p>
    <w:p>
      <w:pPr>
        <w:pStyle w:val="ContentsItem"/>
      </w:pPr>
      <w:hyperlink w:history="1" w:anchor="s7">
        <w:r>
          <w:rPr>
            <w:color w:val="0563C1"/>
          </w:rPr>
          <w:t xml:space="preserve">7. What automation and AI may do</w:t>
        </w:r>
      </w:hyperlink>
    </w:p>
    <w:p>
      <w:pPr>
        <w:pStyle w:val="ContentsItem"/>
      </w:pPr>
      <w:hyperlink w:history="1" w:anchor="s8">
        <w:r>
          <w:rPr>
            <w:color w:val="0563C1"/>
          </w:rPr>
          <w:t xml:space="preserve">8. Where each part of the domain is built</w:t>
        </w:r>
      </w:hyperlink>
    </w:p>
    <w:p>
      <w:pPr>
        <w:pStyle w:val="ContentsItem"/>
      </w:pPr>
      <w:hyperlink w:history="1" w:anchor="s9">
        <w:r>
          <w:rPr>
            <w:color w:val="0563C1"/>
          </w:rPr>
          <w:t xml:space="preserve">9. Term map: wealth edition → mortgage edition</w:t>
        </w:r>
      </w:hyperlink>
    </w:p>
    <w:p>
      <w:pPr>
        <w:pStyle w:val="ContentsItem"/>
      </w:pPr>
      <w:hyperlink w:history="1" w:anchor="s10">
        <w:r>
          <w:rPr>
            <w:color w:val="0563C1"/>
          </w:rPr>
          <w:t xml:space="preserve">10. Sources</w:t>
        </w:r>
      </w:hyperlink>
    </w:p>
    <w:p>
      <w:pPr>
        <w:pBdr>
          <w:bottom w:val="single" w:color="BFBFBF" w:sz="6" w:space="4"/>
        </w:pBdr>
      </w:pPr>
    </w:p>
    <w:p>
      <w:pPr>
        <w:pStyle w:val="Heading1"/>
      </w:pPr>
      <w:bookmarkStart w:name="s1" w:id="1"/>
      <w:r>
        <w:t xml:space="preserve">1. The company</w:t>
      </w:r>
      <w:bookmarkEnd w:id="1"/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9"/>
        <w:gridCol w:w="8601"/>
      </w:tblGrid>
      <w:tr>
        <w:trPr>
          <w:cantSplit/>
          <w:tblHeader/>
        </w:trPr>
        <w:tc>
          <w:tcPr>
            <w:tcW w:type="dxa" w:w="14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Attribute</w:t>
            </w:r>
          </w:p>
        </w:tc>
        <w:tc>
          <w:tcPr>
            <w:tcW w:type="dxa" w:w="8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Apex Home Lending</w:t>
            </w:r>
          </w:p>
        </w:tc>
      </w:tr>
      <w:tr>
        <w:trPr>
          <w:cantSplit/>
        </w:trPr>
        <w:tc>
          <w:tcPr>
            <w:tcW w:type="dxa" w:w="14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Legal form</w:t>
            </w:r>
          </w:p>
        </w:tc>
        <w:tc>
          <w:tcPr>
            <w:tcW w:type="dxa" w:w="8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Federally regulated trust and loan company (</w:t>
            </w:r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Trust and Loan Companies Act</w:t>
            </w:r>
            <w:r>
              <w:rPr>
                <w:b w:val="false"/>
                <w:bCs w:val="false"/>
                <w:sz w:val="17"/>
                <w:szCs w:val="17"/>
              </w:rPr>
              <w:t xml:space="preserve">). OSFI supervises prudential risk, FCAC supervises consumer protection, and Apex is a FINTRAC reporting entity</w:t>
            </w:r>
          </w:p>
        </w:tc>
      </w:tr>
      <w:tr>
        <w:trPr>
          <w:cantSplit/>
        </w:trPr>
        <w:tc>
          <w:tcPr>
            <w:tcW w:type="dxa" w:w="14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Market</w:t>
            </w:r>
          </w:p>
        </w:tc>
        <w:tc>
          <w:tcPr>
            <w:tcW w:type="dxa" w:w="8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Residential mortgages in BC, Alberta, Ontario and Quebec: purchases, refinances, switches (mortgages transferred in from other lenders) and renewals</w:t>
            </w:r>
          </w:p>
        </w:tc>
      </w:tr>
      <w:tr>
        <w:trPr>
          <w:cantSplit/>
        </w:trPr>
        <w:tc>
          <w:tcPr>
            <w:tcW w:type="dxa" w:w="14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Channels</w:t>
            </w:r>
          </w:p>
        </w:tc>
        <w:tc>
          <w:tcPr>
            <w:tcW w:type="dxa" w:w="8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Retail:</w:t>
            </w:r>
            <w:r>
              <w:rPr>
                <w:b w:val="false"/>
                <w:bCs w:val="false"/>
                <w:sz w:val="17"/>
                <w:szCs w:val="17"/>
              </w:rPr>
              <w:t xml:space="preserve"> about 40 in-house mortgage specialists working from branches (Vancouver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VAN</w:t>
            </w:r>
            <w:r>
              <w:rPr>
                <w:b w:val="false"/>
                <w:bCs w:val="false"/>
                <w:sz w:val="17"/>
                <w:szCs w:val="17"/>
              </w:rPr>
              <w:t xml:space="preserve">, Toronto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TOR</w:t>
            </w:r>
            <w:r>
              <w:rPr>
                <w:b w:val="false"/>
                <w:bCs w:val="false"/>
                <w:sz w:val="17"/>
                <w:szCs w:val="17"/>
              </w:rPr>
              <w:t xml:space="preserve">). </w:t>
            </w:r>
            <w:r>
              <w:rPr>
                <w:b/>
                <w:bCs/>
                <w:sz w:val="17"/>
                <w:szCs w:val="17"/>
              </w:rPr>
              <w:t xml:space="preserve">Broker:</w:t>
            </w:r>
            <w:r>
              <w:rPr>
                <w:b w:val="false"/>
                <w:bCs w:val="false"/>
                <w:sz w:val="17"/>
                <w:szCs w:val="17"/>
              </w:rPr>
              <w:t xml:space="preserve"> about 60 approved brokerages with roughly 400 broker agents, covered by business development managers (BDMs)</w:t>
            </w:r>
          </w:p>
        </w:tc>
      </w:tr>
      <w:tr>
        <w:trPr>
          <w:cantSplit/>
        </w:trPr>
        <w:tc>
          <w:tcPr>
            <w:tcW w:type="dxa" w:w="14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Portfolio</w:t>
            </w:r>
          </w:p>
        </w:tc>
        <w:tc>
          <w:tcPr>
            <w:tcW w:type="dxa" w:w="8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About 16,000 active mortgages, 25,000 borrowers and 1 million payment records (pre-authorized debits, monthly or biweekly)</w:t>
            </w:r>
          </w:p>
        </w:tc>
      </w:tr>
      <w:tr>
        <w:trPr>
          <w:cantSplit/>
        </w:trPr>
        <w:tc>
          <w:tcPr>
            <w:tcW w:type="dxa" w:w="14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New business</w:t>
            </w:r>
          </w:p>
        </w:tc>
        <w:tc>
          <w:tcPr>
            <w:tcW w:type="dxa" w:w="8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About 1,200 funded deals a year (100 a month) and about 25 broker submissions a day</w:t>
            </w:r>
          </w:p>
        </w:tc>
      </w:tr>
      <w:tr>
        <w:trPr>
          <w:cantSplit/>
        </w:trPr>
        <w:tc>
          <w:tcPr>
            <w:tcW w:type="dxa" w:w="14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Systems</w:t>
            </w:r>
          </w:p>
        </w:tc>
        <w:tc>
          <w:tcPr>
            <w:tcW w:type="dxa" w:w="8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Salesforce (CRM and the origination front end), an on-premises </w:t>
            </w:r>
            <w:r>
              <w:rPr>
                <w:b/>
                <w:bCs/>
                <w:sz w:val="17"/>
                <w:szCs w:val="17"/>
              </w:rPr>
              <w:t xml:space="preserve">mortgage servicing system</w:t>
            </w:r>
            <w:r>
              <w:rPr>
                <w:b w:val="false"/>
                <w:bCs w:val="false"/>
                <w:sz w:val="17"/>
                <w:szCs w:val="17"/>
              </w:rPr>
              <w:t xml:space="preserve"> (the system of record for boarded loans, payments and balances), MuleSoft (integration), AWS (events, documents, analytics, agent runtime), Okta (workforce identity), Amazon Cognito (borrower identity)</w:t>
            </w:r>
          </w:p>
        </w:tc>
      </w:tr>
      <w:tr>
        <w:trPr>
          <w:cantSplit/>
        </w:trPr>
        <w:tc>
          <w:tcPr>
            <w:tcW w:type="dxa" w:w="14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Out of scope</w:t>
            </w:r>
          </w:p>
        </w:tc>
        <w:tc>
          <w:tcPr>
            <w:tcW w:type="dxa" w:w="8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Deposits, securitization, HELOCs and commercial lending (mentioned for positioning only)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Business goals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Specialists and underwriters see one view of the borrower and the deal (CRM, application, servicing, interactions) without switching between systems.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Servicing requests (address changes, statements, payment questions) move from email to governed workflows.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AI assistant helps specialists and underwriters prepare deal briefs, track conditions and answer policy questions. It </w:t>
      </w:r>
      <w:r>
        <w:rPr>
          <w:b/>
          <w:bCs/>
        </w:rPr>
        <w:t xml:space="preserve">never</w:t>
      </w:r>
      <w:r>
        <w:t xml:space="preserve"> makes a credit decision, sets a rate, does the mortgage arithmetic itself or moves money.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Servicing data (about 1M payments) flows nightly from the on-prem servicing system to cloud analytics and CRM summaries, so renewals and early arrears are caught early.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Brokers submit deals through a governed API and see their status without phoning the underwriting desk.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bookmarkStart w:name="s2" w:id="2"/>
      <w:r>
        <w:t xml:space="preserve">2. The mortgage lifecycle</w:t>
      </w:r>
      <w:bookmarkEnd w:id="2"/>
    </w:p>
    <w:p>
      <w:pPr>
        <w:keepLines/>
        <w:spacing w:after="160" w:before="80" w:line="240" w:lineRule="auto"/>
        <w:jc w:val="center"/>
      </w:pPr>
      <w:r>
        <w:drawing>
          <wp:inline distT="0" distB="0" distL="0" distR="0">
            <wp:extent cx="2895600" cy="7496175"/>
            <wp:effectExtent t="0" r="0" b="0" l="0"/>
            <wp:docPr id="1" name="diagram" descr="Diagram rendered from the guide's Mermaid source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749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7"/>
        <w:gridCol w:w="3443"/>
        <w:gridCol w:w="2553"/>
        <w:gridCol w:w="1788"/>
        <w:gridCol w:w="839"/>
      </w:tblGrid>
      <w:tr>
        <w:trPr>
          <w:cantSplit/>
          <w:tblHeader/>
        </w:trPr>
        <w:tc>
          <w:tcPr>
            <w:tcW w:type="dxa" w:w="1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happens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System of record</w:t>
            </w:r>
          </w:p>
        </w:tc>
        <w:tc>
          <w:tcPr>
            <w:tcW w:type="dxa" w:w="1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Who decides</w:t>
            </w:r>
          </w:p>
        </w:tc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Built in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Lead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Webinar sign-up, website pre-approval request, or a broker submission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Salesforce Lead or Opportunity</w:t>
            </w:r>
          </w:p>
        </w:tc>
        <w:tc>
          <w:tcPr>
            <w:tcW w:type="dxa" w:w="1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08 S1, 13 §3, §5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Pre-approval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Soft credit check (with consent), qualification at the stress-test rate, a rate hold of up to 120 days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Salesforce Opportunity (stage </w:t>
            </w:r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Pre-Approval</w:t>
            </w:r>
            <w:r>
              <w:rPr>
                <w:b w:val="false"/>
                <w:bCs w:val="false"/>
                <w:sz w:val="17"/>
                <w:szCs w:val="17"/>
              </w:rPr>
              <w:t xml:space="preserve">)</w:t>
            </w:r>
          </w:p>
        </w:tc>
        <w:tc>
          <w:tcPr>
            <w:tcW w:type="dxa" w:w="1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Specialist</w:t>
            </w:r>
          </w:p>
        </w:tc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05, 07, 08 S2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Application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Borrowers, incomes, liabilities and the property; documents uploaded, malware-scanned and extracted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Salesforce (Opportunity and its child objects)</w:t>
            </w:r>
          </w:p>
        </w:tc>
        <w:tc>
          <w:tcPr>
            <w:tcW w:type="dxa" w:w="1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03, 12 I1–I2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Underwriting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Credit bureau pull (hard inquiry, with consent), income and down-payment verification, identity verification, mortgage insurer submission when the loan-to-value ratio is above 80%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Salesforce, plus the bureau and insurer records</w:t>
            </w:r>
          </w:p>
        </w:tc>
        <w:tc>
          <w:tcPr>
            <w:tcW w:type="dxa" w:w="1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Underwriter</w:t>
            </w:r>
          </w:p>
        </w:tc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13 §4.11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Commitment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Approval letter with conditions and an expiry date; rate exceptions approved separately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Salesforce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Condition__c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Approval_Request__c</w:t>
            </w:r>
          </w:p>
        </w:tc>
        <w:tc>
          <w:tcPr>
            <w:tcW w:type="dxa" w:w="1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Underwriter; credit manager for exceptions</w:t>
            </w:r>
          </w:p>
        </w:tc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03, 07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Conditions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Documents received, then satisfied by an underwriter; waivers need an approval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Condition__c</w:t>
            </w:r>
          </w:p>
        </w:tc>
        <w:tc>
          <w:tcPr>
            <w:tcW w:type="dxa" w:w="1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Underwriter; credit manager for waivers</w:t>
            </w:r>
          </w:p>
        </w:tc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07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Funding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Solicitor (notary in Quebec) instructed; funding authorized with step-up MFA; loan boarded in servicing; advance scheduled to the solicitor's trust account for the closing date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Servicing system from boarding onward</w:t>
            </w:r>
          </w:p>
        </w:tc>
        <w:tc>
          <w:tcPr>
            <w:tcW w:type="dxa" w:w="1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Credit and funding manager</w:t>
            </w:r>
            <w:r>
              <w:rPr>
                <w:b w:val="false"/>
                <w:bCs w:val="false"/>
                <w:sz w:val="17"/>
                <w:szCs w:val="17"/>
              </w:rPr>
              <w:t xml:space="preserve">; a funder releases the money</w:t>
            </w:r>
          </w:p>
        </w:tc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13 §4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Servicing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Pre-authorized debit payments and returns, statements, address changes, prepayments, arrears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Servicing system</w:t>
            </w:r>
          </w:p>
        </w:tc>
        <w:tc>
          <w:tcPr>
            <w:tcW w:type="dxa" w:w="1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Servicing operations</w:t>
            </w:r>
          </w:p>
        </w:tc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06, 13 §6, 16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Renewal or switch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Renewal statement at least 21 days before the term ends; retention outreach from about 120 days out; straight switches don't re-qualify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Servicing system, plus a Renewal Opportunity in Salesforce</w:t>
            </w:r>
          </w:p>
        </w:tc>
        <w:tc>
          <w:tcPr>
            <w:tcW w:type="dxa" w:w="1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Specialist</w:t>
            </w:r>
          </w:p>
        </w:tc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04, 09, 12 M1–M2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Discharge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Payout statement and discharge of the mortgage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Servicing system</w:t>
            </w:r>
          </w:p>
        </w:tc>
        <w:tc>
          <w:tcPr>
            <w:tcW w:type="dxa" w:w="1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Servicing operations</w:t>
            </w:r>
          </w:p>
        </w:tc>
        <w:tc>
          <w:tcPr>
            <w:tcW w:type="dxa" w:w="8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16 (FAQ only)</w:t>
            </w:r>
          </w:p>
        </w:tc>
      </w:tr>
    </w:tbl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bookmarkStart w:name="s3" w:id="3"/>
      <w:r>
        <w:t xml:space="preserve">3. Glossary</w:t>
      </w:r>
      <w:bookmarkEnd w:id="3"/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6"/>
        <w:gridCol w:w="4190"/>
        <w:gridCol w:w="3824"/>
      </w:tblGrid>
      <w:tr>
        <w:trPr>
          <w:cantSplit/>
          <w:tblHeader/>
        </w:trPr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Term</w:t>
            </w:r>
          </w:p>
        </w:tc>
        <w:tc>
          <w:tcPr>
            <w:tcW w:type="dxa" w:w="4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  <w:tc>
          <w:tcPr>
            <w:tcW w:type="dxa" w:w="3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it matters in the build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Amortization vs term</w:t>
            </w:r>
          </w:p>
        </w:tc>
        <w:tc>
          <w:tcPr>
            <w:tcW w:type="dxa" w:w="4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Amortization is the time to repay the whole loan (for example 25 or 30 years). The term is the contract period (usually 1–5 years) after which the mortgage renews</w:t>
            </w:r>
          </w:p>
        </w:tc>
        <w:tc>
          <w:tcPr>
            <w:tcW w:type="dxa" w:w="3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Loan__c.Maturity_Date__c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is the end of the </w:t>
            </w:r>
            <w:r>
              <w:rPr>
                <w:b/>
                <w:bCs/>
                <w:sz w:val="17"/>
                <w:szCs w:val="17"/>
              </w:rPr>
              <w:t xml:space="preserve">term</w:t>
            </w:r>
            <w:r>
              <w:rPr>
                <w:b w:val="false"/>
                <w:bCs w:val="false"/>
                <w:sz w:val="17"/>
                <w:szCs w:val="17"/>
              </w:rPr>
              <w:t xml:space="preserve">, which drives renewals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GDS</w:t>
            </w:r>
            <w:r>
              <w:rPr>
                <w:b w:val="false"/>
                <w:bCs w:val="false"/>
                <w:sz w:val="17"/>
                <w:szCs w:val="17"/>
              </w:rPr>
              <w:t xml:space="preserve"> (gross debt service)</w:t>
            </w:r>
          </w:p>
        </w:tc>
        <w:tc>
          <w:tcPr>
            <w:tcW w:type="dxa" w:w="4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Housing costs ÷ gross monthly income. Housing costs are principal and interest at the qualifying rate, property tax, heating, and 50% of condo fees</w:t>
            </w:r>
          </w:p>
        </w:tc>
        <w:tc>
          <w:tcPr>
            <w:tcW w:type="dxa" w:w="3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Calculated only by the qualification service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TDS</w:t>
            </w:r>
            <w:r>
              <w:rPr>
                <w:b w:val="false"/>
                <w:bCs w:val="false"/>
                <w:sz w:val="17"/>
                <w:szCs w:val="17"/>
              </w:rPr>
              <w:t xml:space="preserve"> (total debt service)</w:t>
            </w:r>
          </w:p>
        </w:tc>
        <w:tc>
          <w:tcPr>
            <w:tcW w:type="dxa" w:w="4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GDS costs plus all other debt payments ÷ gross monthly income</w:t>
            </w:r>
          </w:p>
        </w:tc>
        <w:tc>
          <w:tcPr>
            <w:tcW w:type="dxa" w:w="3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Same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LTV</w:t>
            </w:r>
            <w:r>
              <w:rPr>
                <w:b w:val="false"/>
                <w:bCs w:val="false"/>
                <w:sz w:val="17"/>
                <w:szCs w:val="17"/>
              </w:rPr>
              <w:t xml:space="preserve"> (loan-to-value)</w:t>
            </w:r>
          </w:p>
        </w:tc>
        <w:tc>
          <w:tcPr>
            <w:tcW w:type="dxa" w:w="4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Loan amount ÷ lending value, where lending value is the lower of the purchase price and the appraised value</w:t>
            </w:r>
          </w:p>
        </w:tc>
        <w:tc>
          <w:tcPr>
            <w:tcW w:type="dxa" w:w="3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Above 80% the mortgage must be insured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LTI</w:t>
            </w:r>
            <w:r>
              <w:rPr>
                <w:b w:val="false"/>
                <w:bCs w:val="false"/>
                <w:sz w:val="17"/>
                <w:szCs w:val="17"/>
              </w:rPr>
              <w:t xml:space="preserve"> (loan-to-income)</w:t>
            </w:r>
          </w:p>
        </w:tc>
        <w:tc>
          <w:tcPr>
            <w:tcW w:type="dxa" w:w="4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Loan amount ÷ gross annual income</w:t>
            </w:r>
          </w:p>
        </w:tc>
        <w:tc>
          <w:tcPr>
            <w:tcW w:type="dxa" w:w="3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OSFI limits the </w:t>
            </w:r>
            <w:r>
              <w:rPr>
                <w:b/>
                <w:bCs/>
                <w:sz w:val="17"/>
                <w:szCs w:val="17"/>
              </w:rPr>
              <w:t xml:space="preserve">share</w:t>
            </w:r>
            <w:r>
              <w:rPr>
                <w:b w:val="false"/>
                <w:bCs w:val="false"/>
                <w:sz w:val="17"/>
                <w:szCs w:val="17"/>
              </w:rPr>
              <w:t xml:space="preserve"> of a lender's new uninsured lending above 4.5×; it's a portfolio limit, not a per-loan rule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MQR / stress test</w:t>
            </w:r>
          </w:p>
        </w:tc>
        <w:tc>
          <w:tcPr>
            <w:tcW w:type="dxa" w:w="4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Borrowers qualify at the greater of the contract rate plus 2% or 5.25%</w:t>
            </w:r>
          </w:p>
        </w:tc>
        <w:tc>
          <w:tcPr>
            <w:tcW w:type="dxa" w:w="3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Parameters are versioned and owned by Credit Risk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Insured / insurable / uninsured</w:t>
            </w:r>
          </w:p>
        </w:tc>
        <w:tc>
          <w:tcPr>
            <w:tcW w:type="dxa" w:w="4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Insured:</w:t>
            </w:r>
            <w:r>
              <w:rPr>
                <w:b w:val="false"/>
                <w:bCs w:val="false"/>
                <w:sz w:val="17"/>
                <w:szCs w:val="17"/>
              </w:rPr>
              <w:t xml:space="preserve"> default insurance from CMHC, Sagen or Canada Guaranty, required above 80% LTV at federally regulated lenders. The borrower pays the premium, which is usually added to the loan, so GDS and TDS are calculated on the total. </w:t>
            </w:r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Insurable:</w:t>
            </w:r>
            <w:r>
              <w:rPr>
                <w:b w:val="false"/>
                <w:bCs w:val="false"/>
                <w:sz w:val="17"/>
                <w:szCs w:val="17"/>
              </w:rPr>
              <w:t xml:space="preserve"> meets insurance rules with at least 20% down; the lender may buy portfolio insurance. </w:t>
            </w:r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Uninsured:</w:t>
            </w:r>
            <w:r>
              <w:rPr>
                <w:b w:val="false"/>
                <w:bCs w:val="false"/>
                <w:sz w:val="17"/>
                <w:szCs w:val="17"/>
              </w:rPr>
              <w:t xml:space="preserve"> everything else</w:t>
            </w:r>
          </w:p>
        </w:tc>
        <w:tc>
          <w:tcPr>
            <w:tcW w:type="dxa" w:w="3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Opportunity.Insured__c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Insurer__c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; routing to insurer submission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Commitment</w:t>
            </w:r>
          </w:p>
        </w:tc>
        <w:tc>
          <w:tcPr>
            <w:tcW w:type="dxa" w:w="4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lender's conditional approval, with a list of conditions and an expiry</w:t>
            </w:r>
          </w:p>
        </w:tc>
        <w:tc>
          <w:tcPr>
            <w:tcW w:type="dxa" w:w="3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Opportunity.Commitment_Expiry__c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Condition</w:t>
            </w:r>
          </w:p>
        </w:tc>
        <w:tc>
          <w:tcPr>
            <w:tcW w:type="dxa" w:w="4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Something that must be met before funding: appraisal, employment letter, gift letter, proof of down payment, signed commitment, title insurance</w:t>
            </w:r>
          </w:p>
        </w:tc>
        <w:tc>
          <w:tcPr>
            <w:tcW w:type="dxa" w:w="3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Received isn't satisfied: only an underwriter marks a condition satisfied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Rate hold</w:t>
            </w:r>
          </w:p>
        </w:tc>
        <w:tc>
          <w:tcPr>
            <w:tcW w:type="dxa" w:w="4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 rate guaranteed for a period (often 90–120 days)</w:t>
            </w:r>
          </w:p>
        </w:tc>
        <w:tc>
          <w:tcPr>
            <w:tcW w:type="dxa" w:w="3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Rate_Hold_Expiry__c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Posted vs discounted rate</w:t>
            </w:r>
          </w:p>
        </w:tc>
        <w:tc>
          <w:tcPr>
            <w:tcW w:type="dxa" w:w="4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published rate vs the rate actually offered</w:t>
            </w:r>
          </w:p>
        </w:tc>
        <w:tc>
          <w:tcPr>
            <w:tcW w:type="dxa" w:w="3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Rate exceptions below the rate sheet need approval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Solicitor / notary</w:t>
            </w:r>
          </w:p>
        </w:tc>
        <w:tc>
          <w:tcPr>
            <w:tcW w:type="dxa" w:w="4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lawyer (notary in Quebec) who registers the mortgage and receives the advance in a trust account</w:t>
            </w:r>
          </w:p>
        </w:tc>
        <w:tc>
          <w:tcPr>
            <w:tcW w:type="dxa" w:w="3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Advances go only to solicitors on the approved panel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Advance / funding</w:t>
            </w:r>
          </w:p>
        </w:tc>
        <w:tc>
          <w:tcPr>
            <w:tcW w:type="dxa" w:w="4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Release of the loan funds to the solicitor's trust account on the closing date</w:t>
            </w:r>
          </w:p>
        </w:tc>
        <w:tc>
          <w:tcPr>
            <w:tcW w:type="dxa" w:w="3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 person releases funds; automation only schedules them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Boarding</w:t>
            </w:r>
          </w:p>
        </w:tc>
        <w:tc>
          <w:tcPr>
            <w:tcW w:type="dxa" w:w="4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Creating the loan, its parties and its payment schedule in the servicing system</w:t>
            </w:r>
          </w:p>
        </w:tc>
        <w:tc>
          <w:tcPr>
            <w:tcW w:type="dxa" w:w="3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funding saga's main write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PAD / NSF</w:t>
            </w:r>
          </w:p>
        </w:tc>
        <w:tc>
          <w:tcPr>
            <w:tcW w:type="dxa" w:w="4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Pre-authorized debit (Payments Canada Rule H1); a returned payment for non-sufficient funds, a stop payment or a closed account</w:t>
            </w:r>
          </w:p>
        </w:tc>
        <w:tc>
          <w:tcPr>
            <w:tcW w:type="dxa" w:w="3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PAD returns file (Project 13 §6)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Arrears</w:t>
            </w:r>
          </w:p>
        </w:tc>
        <w:tc>
          <w:tcPr>
            <w:tcW w:type="dxa" w:w="4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Missed payments, measured in days past due</w:t>
            </w:r>
          </w:p>
        </w:tc>
        <w:tc>
          <w:tcPr>
            <w:tcW w:type="dxa" w:w="3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Early-arrears outreach is a person's job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Prepayment privileges</w:t>
            </w:r>
          </w:p>
        </w:tc>
        <w:tc>
          <w:tcPr>
            <w:tcW w:type="dxa" w:w="4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Lump sums and payment increases allowed each year without a charge</w:t>
            </w:r>
          </w:p>
        </w:tc>
        <w:tc>
          <w:tcPr>
            <w:tcW w:type="dxa" w:w="3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FAQ and verified-borrower answers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Prepayment charge</w:t>
            </w:r>
          </w:p>
        </w:tc>
        <w:tc>
          <w:tcPr>
            <w:tcW w:type="dxa" w:w="4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penalty for breaking a closed term early, often the greater of three months' interest and the interest rate differential (IRD)</w:t>
            </w:r>
          </w:p>
        </w:tc>
        <w:tc>
          <w:tcPr>
            <w:tcW w:type="dxa" w:w="3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Calculated by the servicing system, never by a model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Payout statement</w:t>
            </w:r>
          </w:p>
        </w:tc>
        <w:tc>
          <w:tcPr>
            <w:tcW w:type="dxa" w:w="4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amount needed to discharge the mortgage on a given date</w:t>
            </w:r>
          </w:p>
        </w:tc>
        <w:tc>
          <w:tcPr>
            <w:tcW w:type="dxa" w:w="3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 request is a strong sign the borrower may leave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Renewal</w:t>
            </w:r>
          </w:p>
        </w:tc>
        <w:tc>
          <w:tcPr>
            <w:tcW w:type="dxa" w:w="4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 new term with the same lender at maturity</w:t>
            </w:r>
          </w:p>
        </w:tc>
        <w:tc>
          <w:tcPr>
            <w:tcW w:type="dxa" w:w="3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Renewal Opportunity record type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Straight switch</w:t>
            </w:r>
          </w:p>
        </w:tc>
        <w:tc>
          <w:tcPr>
            <w:tcW w:type="dxa" w:w="4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Moving the mortgage to another lender at renewal with the same balance (plus small costs) and amortization; no re-qualification</w:t>
            </w:r>
          </w:p>
        </w:tc>
        <w:tc>
          <w:tcPr>
            <w:tcW w:type="dxa" w:w="3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Switch record type rule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Refinance</w:t>
            </w:r>
          </w:p>
        </w:tc>
        <w:tc>
          <w:tcPr>
            <w:tcW w:type="dxa" w:w="4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 new mortgage with a higher amount or a longer amortization; must re-qualify</w:t>
            </w:r>
          </w:p>
        </w:tc>
        <w:tc>
          <w:tcPr>
            <w:tcW w:type="dxa" w:w="3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Refinance record type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Broker of record</w:t>
            </w:r>
          </w:p>
        </w:tc>
        <w:tc>
          <w:tcPr>
            <w:tcW w:type="dxa" w:w="4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broker who originated the deal</w:t>
            </w:r>
          </w:p>
        </w:tc>
        <w:tc>
          <w:tcPr>
            <w:tcW w:type="dxa" w:w="3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Renewal outreach rules for broker deals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BDM</w:t>
            </w:r>
          </w:p>
        </w:tc>
        <w:tc>
          <w:tcPr>
            <w:tcW w:type="dxa" w:w="4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Business development manager: the lender's relationship manager for brokers in a territory</w:t>
            </w:r>
          </w:p>
        </w:tc>
        <w:tc>
          <w:tcPr>
            <w:tcW w:type="dxa" w:w="3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Territories (Project 13 B5)</w:t>
            </w:r>
          </w:p>
        </w:tc>
      </w:tr>
      <w:tr>
        <w:trPr>
          <w:cantSplit/>
        </w:trPr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Canadian compounding</w:t>
            </w:r>
          </w:p>
        </w:tc>
        <w:tc>
          <w:tcPr>
            <w:tcW w:type="dxa" w:w="4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Fixed-rate mortgages conventionally compound semi-annually, not in advance; the </w:t>
            </w:r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Interest Act</w:t>
            </w:r>
            <w:r>
              <w:rPr>
                <w:b w:val="false"/>
                <w:bCs w:val="false"/>
                <w:sz w:val="17"/>
                <w:szCs w:val="17"/>
              </w:rPr>
              <w:t xml:space="preserve"> (s. 6) requires the rate to be stated that way. Many variable-rate products compound monthly ⚠ (check the product terms)</w:t>
            </w:r>
          </w:p>
        </w:tc>
        <w:tc>
          <w:tcPr>
            <w:tcW w:type="dxa" w:w="3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payment formula in the qualification service and the servicing adapter</w:t>
            </w:r>
          </w:p>
        </w:tc>
      </w:tr>
    </w:tbl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bookmarkStart w:name="s4" w:id="4"/>
      <w:r>
        <w:t xml:space="preserve">4. Rules that shape the design</w:t>
      </w:r>
      <w:bookmarkEnd w:id="4"/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5"/>
        <w:gridCol w:w="3373"/>
        <w:gridCol w:w="3374"/>
        <w:gridCol w:w="958"/>
      </w:tblGrid>
      <w:tr>
        <w:trPr>
          <w:cantSplit/>
          <w:tblHeader/>
        </w:trPr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requires (summary)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Design response</w:t>
            </w:r>
          </w:p>
        </w:tc>
        <w:tc>
          <w:tcPr>
            <w:tcW w:type="dxa" w:w="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Where</w:t>
            </w:r>
          </w:p>
        </w:tc>
      </w:tr>
      <w:tr>
        <w:trPr>
          <w:cantSplit/>
        </w:trPr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OSFI Guideline B-20 and the MQR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Uninsured borrowers qualify at the greater of the contract rate + 2% or 5.25%. OSFI reviews the floor at least annually and left it unchanged in January 2026 (reported)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One deterministic, versioned qualification service; the agent calls it and never calculates</w:t>
            </w:r>
          </w:p>
        </w:tc>
        <w:tc>
          <w:tcPr>
            <w:tcW w:type="dxa" w:w="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05, 07</w:t>
            </w:r>
          </w:p>
        </w:tc>
      </w:tr>
      <w:tr>
        <w:trPr>
          <w:cantSplit/>
        </w:trPr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OSFI loan-to-income limit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From fiscal 2025, a limit on the share of new uninsured mortgages with LTI above 4.5×, reported quarterly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qualification service returns LTI; a dashboard tracks the portfolio share</w:t>
            </w:r>
          </w:p>
        </w:tc>
        <w:tc>
          <w:tcPr>
            <w:tcW w:type="dxa" w:w="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05, 08 A5</w:t>
            </w:r>
          </w:p>
        </w:tc>
      </w:tr>
      <w:tr>
        <w:trPr>
          <w:cantSplit/>
        </w:trPr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Insured-mortgage rules</w:t>
            </w:r>
            <w:r>
              <w:rPr>
                <w:b w:val="false"/>
                <w:bCs w:val="false"/>
                <w:sz w:val="17"/>
                <w:szCs w:val="17"/>
              </w:rPr>
              <w:t xml:space="preserve"> (Department of Finance)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Insurance required above 80% LTV; price cap of $1.5M (from December 15, 2024); maximum amortization 25 years, or 30 years for first-time buyers and buyers of new builds (from December 15, 2024); owner-occupied; minimum down payment 5% of the first $500,000 and 10% of the rest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Validation rules on the deal; checks in the qualification service; insured deals go to insurer submission</w:t>
            </w:r>
          </w:p>
        </w:tc>
        <w:tc>
          <w:tcPr>
            <w:tcW w:type="dxa" w:w="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03, 05, 08 O3</w:t>
            </w:r>
          </w:p>
        </w:tc>
      </w:tr>
      <w:tr>
        <w:trPr>
          <w:cantSplit/>
        </w:trPr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Insurer underwriting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CMHC considers GDS up to 39% and TDS up to 44%, and at least one borrower needs a credit score of 600 or more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Limits table in the qualification service</w:t>
            </w:r>
          </w:p>
        </w:tc>
        <w:tc>
          <w:tcPr>
            <w:tcW w:type="dxa" w:w="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05</w:t>
            </w:r>
          </w:p>
        </w:tc>
      </w:tr>
      <w:tr>
        <w:trPr>
          <w:cantSplit/>
        </w:trPr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Default insurance premiums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 percentage of the loan by LTV band (CMHC: 2.80% for 80.01–85%, 3.10% for 85.01–90%, 4.00% for 90.01–95%), plus 0.20% for a 30-year amortization; the premium can be added to the loan, and GDS includes it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qualification service estimates the premium from a versioned schedule until the insurer's quote replaces it; boarding adds it to the principal, and the advance to the solicitor excludes it</w:t>
            </w:r>
          </w:p>
        </w:tc>
        <w:tc>
          <w:tcPr>
            <w:tcW w:type="dxa" w:w="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05, 13 §4.11</w:t>
            </w:r>
          </w:p>
        </w:tc>
      </w:tr>
      <w:tr>
        <w:trPr>
          <w:cantSplit/>
        </w:trPr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Switches at renewal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Straight switches don't need the stress test: insured mortgages since early 2024 (reported), uninsured from November 21, 2024 (OSFI), insurable from December 16, 2024 (Fall Economic Statement)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Switch record type skips re-qualification only when the amount and amortization are unchanged</w:t>
            </w:r>
          </w:p>
        </w:tc>
        <w:tc>
          <w:tcPr>
            <w:tcW w:type="dxa" w:w="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03, 08 O3</w:t>
            </w:r>
          </w:p>
        </w:tc>
      </w:tr>
      <w:tr>
        <w:trPr>
          <w:cantSplit/>
        </w:trPr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FCAC renewal rules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 renewal statement, or a notice that the lender won't renew, at least 21 days before the term ends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 deterministic scheduled flow and an exception report. Never depend on Data 360 or an agent for a regulatory deadline</w:t>
            </w:r>
          </w:p>
        </w:tc>
        <w:tc>
          <w:tcPr>
            <w:tcW w:type="dxa" w:w="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04 Step 7, 08 F4</w:t>
            </w:r>
          </w:p>
        </w:tc>
      </w:tr>
      <w:tr>
        <w:trPr>
          <w:cantSplit/>
        </w:trPr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FCAC Guideline on Existing Consumer Mortgage Loans in Exceptional Circumstances</w:t>
            </w:r>
            <w:r>
              <w:rPr>
                <w:b w:val="false"/>
                <w:bCs w:val="false"/>
                <w:sz w:val="17"/>
                <w:szCs w:val="17"/>
              </w:rPr>
              <w:t xml:space="preserve"> (2023, updated September 25, 2025)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Identify borrowers at risk, contact them proactively, offer appropriate relief, disclose the consequences, keep written policies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Early-arrears signals go to people; relief decisions are human; the service agent hands hardship conversations to a person</w:t>
            </w:r>
          </w:p>
        </w:tc>
        <w:tc>
          <w:tcPr>
            <w:tcW w:type="dxa" w:w="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04, 13 §6, 16</w:t>
            </w:r>
          </w:p>
        </w:tc>
      </w:tr>
      <w:tr>
        <w:trPr>
          <w:cantSplit/>
        </w:trPr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FCAC complaint handling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Complaint procedures, records and escalation to an external complaints body (Apex names OBSI ⚠ confirm for your institution type)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Complaint cases with clocks; the agent captures and routes</w:t>
            </w:r>
          </w:p>
        </w:tc>
        <w:tc>
          <w:tcPr>
            <w:tcW w:type="dxa" w:w="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08 V3, 16 CH5</w:t>
            </w:r>
          </w:p>
        </w:tc>
      </w:tr>
      <w:tr>
        <w:trPr>
          <w:cantSplit/>
        </w:trPr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FINTRAC</w:t>
            </w:r>
            <w:r>
              <w:rPr>
                <w:b w:val="false"/>
                <w:bCs w:val="false"/>
                <w:sz w:val="17"/>
                <w:szCs w:val="17"/>
              </w:rPr>
              <w:t xml:space="preserve"> (</w:t>
            </w:r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Proceeds of Crime (Money Laundering) and Terrorist Financing Act</w:t>
            </w:r>
            <w:r>
              <w:rPr>
                <w:b w:val="false"/>
                <w:bCs w:val="false"/>
                <w:sz w:val="17"/>
                <w:szCs w:val="17"/>
              </w:rPr>
              <w:t xml:space="preserve">)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Mortgage administrators, brokers and lenders became reporting entities on October 11, 2024: compliance program (effectiveness review at least every two years), know-your-client and identity verification, suspicious transaction, terrorist property and sanctions-evasion reports, records kept at least 5 years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Identity-verification records; a suspicious-activity case type that only people work; retention schedule; agents never decide or file reports</w:t>
            </w:r>
          </w:p>
        </w:tc>
        <w:tc>
          <w:tcPr>
            <w:tcW w:type="dxa" w:w="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14 GV5, 15</w:t>
            </w:r>
          </w:p>
        </w:tc>
      </w:tr>
      <w:tr>
        <w:trPr>
          <w:cantSplit/>
        </w:trPr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sz w:val="17"/>
                <w:szCs w:val="17"/>
              </w:rPr>
              <w:t xml:space="preserve">Interest Act</w:t>
            </w:r>
            <w:r>
              <w:rPr>
                <w:b/>
                <w:bCs/>
                <w:sz w:val="17"/>
                <w:szCs w:val="17"/>
              </w:rPr>
              <w:t xml:space="preserve">, s. 6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Blended-payment mortgages must state the rate calculated yearly or half-yearly, not in advance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Payment maths uses semi-annual compounding for fixed rates</w:t>
            </w:r>
          </w:p>
        </w:tc>
        <w:tc>
          <w:tcPr>
            <w:tcW w:type="dxa" w:w="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05, 13</w:t>
            </w:r>
          </w:p>
        </w:tc>
      </w:tr>
      <w:tr>
        <w:trPr>
          <w:cantSplit/>
        </w:trPr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Payments Canada Rule H1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Pre-authorized debits: agreements and returns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PAD returns file with control totals</w:t>
            </w:r>
          </w:p>
        </w:tc>
        <w:tc>
          <w:tcPr>
            <w:tcW w:type="dxa" w:w="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13 §6</w:t>
            </w:r>
          </w:p>
        </w:tc>
      </w:tr>
      <w:tr>
        <w:trPr>
          <w:cantSplit/>
        </w:trPr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OSFI B-13</w:t>
            </w:r>
            <w:r>
              <w:rPr>
                <w:b w:val="false"/>
                <w:bCs w:val="false"/>
                <w:sz w:val="17"/>
                <w:szCs w:val="17"/>
              </w:rPr>
              <w:t xml:space="preserve"> (effective January 1, 2024)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Technology and cyber risk management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Trust chain, logging, resilience labs</w:t>
            </w:r>
          </w:p>
        </w:tc>
        <w:tc>
          <w:tcPr>
            <w:tcW w:type="dxa" w:w="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02, 10, 15</w:t>
            </w:r>
          </w:p>
        </w:tc>
      </w:tr>
      <w:tr>
        <w:trPr>
          <w:cantSplit/>
        </w:trPr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OSFI B-10</w:t>
            </w:r>
            <w:r>
              <w:rPr>
                <w:b w:val="false"/>
                <w:bCs w:val="false"/>
                <w:sz w:val="17"/>
                <w:szCs w:val="17"/>
              </w:rPr>
              <w:t xml:space="preserve"> (effective May 1, 2024)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Third-party risk management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 third-party register for Salesforce, AWS, MuleSoft and Okta; exit plans in the ADRs</w:t>
            </w:r>
          </w:p>
        </w:tc>
        <w:tc>
          <w:tcPr>
            <w:tcW w:type="dxa" w:w="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OSFI E-23</w:t>
            </w:r>
            <w:r>
              <w:rPr>
                <w:b w:val="false"/>
                <w:bCs w:val="false"/>
                <w:sz w:val="17"/>
                <w:szCs w:val="17"/>
              </w:rPr>
              <w:t xml:space="preserve"> (effective May 1, 2027)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Model risk management, including AI and vendor models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Model and agent inventory with risk ratings and monitoring</w:t>
            </w:r>
          </w:p>
        </w:tc>
        <w:tc>
          <w:tcPr>
            <w:tcW w:type="dxa" w:w="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14 GV8, 16 CH10</w:t>
            </w:r>
          </w:p>
        </w:tc>
      </w:tr>
      <w:tr>
        <w:trPr>
          <w:cantSplit/>
        </w:trPr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PIPEDA, Quebec Law 25, CASL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Privacy (access requests answered within 30 days); Quebec privacy by default and privacy impact assessments before data leaves Quebec; consent for commercial electronic messages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Consent model, privacy-request orchestration, residency ADRs</w:t>
            </w:r>
          </w:p>
        </w:tc>
        <w:tc>
          <w:tcPr>
            <w:tcW w:type="dxa" w:w="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14 GV3–GV4</w:t>
            </w:r>
          </w:p>
        </w:tc>
      </w:tr>
      <w:tr>
        <w:trPr>
          <w:cantSplit/>
        </w:trPr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Provincial broker regulation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BC: the </w:t>
            </w:r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Mortgage Services Act</w:t>
            </w:r>
            <w:r>
              <w:rPr>
                <w:b w:val="false"/>
                <w:bCs w:val="false"/>
                <w:sz w:val="17"/>
                <w:szCs w:val="17"/>
              </w:rPr>
              <w:t xml:space="preserve"> came into force on October 13, 2026 (BCFSA), replacing the </w:t>
            </w:r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Mortgage Brokers Act</w:t>
            </w:r>
            <w:r>
              <w:rPr>
                <w:b w:val="false"/>
                <w:bCs w:val="false"/>
                <w:sz w:val="17"/>
                <w:szCs w:val="17"/>
              </w:rPr>
              <w:t xml:space="preserve">. Ontario: FSRA. Alberta: RECA. Quebec: AMF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Brokerage and agent licence fields; expiry checks block deal intake</w:t>
            </w:r>
          </w:p>
        </w:tc>
        <w:tc>
          <w:tcPr>
            <w:tcW w:type="dxa" w:w="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13 §5</w:t>
            </w:r>
          </w:p>
        </w:tc>
      </w:tr>
    </w:tbl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bookmarkStart w:name="s5" w:id="5"/>
      <w:r>
        <w:t xml:space="preserve">5. People and system identities</w:t>
      </w:r>
      <w:bookmarkEnd w:id="5"/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4"/>
        <w:gridCol w:w="1670"/>
        <w:gridCol w:w="2401"/>
        <w:gridCol w:w="1333"/>
        <w:gridCol w:w="741"/>
        <w:gridCol w:w="2521"/>
      </w:tblGrid>
      <w:tr>
        <w:trPr>
          <w:cantSplit/>
          <w:tblHeader/>
        </w:trPr>
        <w:tc>
          <w:tcPr>
            <w:tcW w:type="dxa" w:w="1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Persona</w:t>
            </w:r>
          </w:p>
        </w:tc>
        <w:tc>
          <w:tcPr>
            <w:tcW w:type="dxa" w:w="1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Okta user</w:t>
            </w:r>
          </w:p>
        </w:tc>
        <w:tc>
          <w:tcPr>
            <w:tcW w:type="dxa" w:w="2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Okta group</w:t>
            </w:r>
          </w:p>
        </w:tc>
        <w:tc>
          <w:tcPr>
            <w:tcW w:type="dxa" w:w="1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4"/>
                <w:szCs w:val="14"/>
                <w:shd w:fill="EEF0F3" w:color="auto" w:val="clear"/>
              </w:rPr>
              <w:t xml:space="preserve">originator_id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Branch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What they do</w:t>
            </w:r>
          </w:p>
        </w:tc>
      </w:tr>
      <w:tr>
        <w:trPr>
          <w:cantSplit/>
        </w:trPr>
        <w:tc>
          <w:tcPr>
            <w:tcW w:type="dxa" w:w="1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Mortgage specialist, Vancouver</w:t>
            </w:r>
          </w:p>
        </w:tc>
        <w:tc>
          <w:tcPr>
            <w:tcW w:type="dxa" w:w="1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0F3" w:color="auto" w:val="clear"/>
              </w:rPr>
              <w:t xml:space="preserve">alice.specialist</w:t>
            </w:r>
          </w:p>
        </w:tc>
        <w:tc>
          <w:tcPr>
            <w:tcW w:type="dxa" w:w="2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0F3" w:color="auto" w:val="clear"/>
              </w:rPr>
              <w:t xml:space="preserve">apex-specialists</w:t>
            </w:r>
          </w:p>
        </w:tc>
        <w:tc>
          <w:tcPr>
            <w:tcW w:type="dxa" w:w="1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0F3" w:color="auto" w:val="clear"/>
              </w:rPr>
              <w:t xml:space="preserve">MS-001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VAN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Originates deals; sees only her own borrowers and pipeline</w:t>
            </w:r>
          </w:p>
        </w:tc>
      </w:tr>
      <w:tr>
        <w:trPr>
          <w:cantSplit/>
        </w:trPr>
        <w:tc>
          <w:tcPr>
            <w:tcW w:type="dxa" w:w="1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Mortgage specialist, Toronto</w:t>
            </w:r>
          </w:p>
        </w:tc>
        <w:tc>
          <w:tcPr>
            <w:tcW w:type="dxa" w:w="1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0F3" w:color="auto" w:val="clear"/>
              </w:rPr>
              <w:t xml:space="preserve">bob.specialist</w:t>
            </w:r>
          </w:p>
        </w:tc>
        <w:tc>
          <w:tcPr>
            <w:tcW w:type="dxa" w:w="2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0F3" w:color="auto" w:val="clear"/>
              </w:rPr>
              <w:t xml:space="preserve">apex-specialists</w:t>
            </w:r>
          </w:p>
        </w:tc>
        <w:tc>
          <w:tcPr>
            <w:tcW w:type="dxa" w:w="1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0F3" w:color="auto" w:val="clear"/>
              </w:rPr>
              <w:t xml:space="preserve">MS-002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TOR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Same, in Toronto</w:t>
            </w:r>
          </w:p>
        </w:tc>
      </w:tr>
      <w:tr>
        <w:trPr>
          <w:cantSplit/>
        </w:trPr>
        <w:tc>
          <w:tcPr>
            <w:tcW w:type="dxa" w:w="1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Underwriter</w:t>
            </w:r>
          </w:p>
        </w:tc>
        <w:tc>
          <w:tcPr>
            <w:tcW w:type="dxa" w:w="1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0F3" w:color="auto" w:val="clear"/>
              </w:rPr>
              <w:t xml:space="preserve">uma.underwriter</w:t>
            </w:r>
          </w:p>
        </w:tc>
        <w:tc>
          <w:tcPr>
            <w:tcW w:type="dxa" w:w="2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0F3" w:color="auto" w:val="clear"/>
              </w:rPr>
              <w:t xml:space="preserve">apex-underwriters</w:t>
            </w:r>
          </w:p>
        </w:tc>
        <w:tc>
          <w:tcPr>
            <w:tcW w:type="dxa" w:w="1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TOR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Adjudicates applications and satisfies conditions. Credit decisions are hers</w:t>
            </w:r>
          </w:p>
        </w:tc>
      </w:tr>
      <w:tr>
        <w:trPr>
          <w:cantSplit/>
        </w:trPr>
        <w:tc>
          <w:tcPr>
            <w:tcW w:type="dxa" w:w="1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Credit and funding manager</w:t>
            </w:r>
          </w:p>
        </w:tc>
        <w:tc>
          <w:tcPr>
            <w:tcW w:type="dxa" w:w="1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0F3" w:color="auto" w:val="clear"/>
              </w:rPr>
              <w:t xml:space="preserve">carol.credit</w:t>
            </w:r>
          </w:p>
        </w:tc>
        <w:tc>
          <w:tcPr>
            <w:tcW w:type="dxa" w:w="2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0F3" w:color="auto" w:val="clear"/>
              </w:rPr>
              <w:t xml:space="preserve">apex-credit</w:t>
            </w:r>
          </w:p>
        </w:tc>
        <w:tc>
          <w:tcPr>
            <w:tcW w:type="dxa" w:w="1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TOR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Approves condition waivers, rate exceptions, funding and borrower-detail changes; reads the whole portfolio</w:t>
            </w:r>
          </w:p>
        </w:tc>
      </w:tr>
      <w:tr>
        <w:trPr>
          <w:cantSplit/>
        </w:trPr>
        <w:tc>
          <w:tcPr>
            <w:tcW w:type="dxa" w:w="1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Servicing operations</w:t>
            </w:r>
          </w:p>
        </w:tc>
        <w:tc>
          <w:tcPr>
            <w:tcW w:type="dxa" w:w="1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0F3" w:color="auto" w:val="clear"/>
              </w:rPr>
              <w:t xml:space="preserve">oscar.ops</w:t>
            </w:r>
          </w:p>
        </w:tc>
        <w:tc>
          <w:tcPr>
            <w:tcW w:type="dxa" w:w="2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0F3" w:color="auto" w:val="clear"/>
              </w:rPr>
              <w:t xml:space="preserve">apex-ops</w:t>
            </w:r>
          </w:p>
        </w:tc>
        <w:tc>
          <w:tcPr>
            <w:tcW w:type="dxa" w:w="1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VAN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Servicing cases, payments and renewals, through the ops portal</w:t>
            </w:r>
          </w:p>
        </w:tc>
      </w:tr>
      <w:tr>
        <w:trPr>
          <w:cantSplit/>
        </w:trPr>
        <w:tc>
          <w:tcPr>
            <w:tcW w:type="dxa" w:w="1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You</w:t>
            </w:r>
          </w:p>
        </w:tc>
        <w:tc>
          <w:tcPr>
            <w:tcW w:type="dxa" w:w="1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your admin user</w:t>
            </w:r>
          </w:p>
        </w:tc>
        <w:tc>
          <w:tcPr>
            <w:tcW w:type="dxa" w:w="2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0F3" w:color="auto" w:val="clear"/>
              </w:rPr>
              <w:t xml:space="preserve">apex-architects</w:t>
            </w:r>
            <w:r>
              <w:rPr>
                <w:b w:val="false"/>
                <w:bCs w:val="false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0F3" w:color="auto" w:val="clear"/>
              </w:rPr>
              <w:t xml:space="preserve">apex-integration-admins</w:t>
            </w:r>
          </w:p>
        </w:tc>
        <w:tc>
          <w:tcPr>
            <w:tcW w:type="dxa" w:w="1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5"/>
                <w:szCs w:val="15"/>
              </w:rPr>
              <w:t xml:space="preserve">Architect and administrator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Salesforce-only test users (no Okta account):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vera.manager</w:t>
      </w:r>
      <w:r>
        <w:t xml:space="preserve"> (branch manager, Vancouver; Module 15) and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dana.bdm</w:t>
      </w:r>
      <w:r>
        <w:t xml:space="preserve"> (business development manager for the broker channel; Project 13 and Module 15). That keeps Okta at six users, inside the Integrator Free Plan's limit of ten.</w:t>
      </w:r>
    </w:p>
    <w:p>
      <w:pPr>
        <w:spacing w:after="120"/>
      </w:pPr>
      <w:r>
        <w:t xml:space="preserve">External people: </w:t>
      </w:r>
      <w:r>
        <w:rPr>
          <w:b/>
          <w:bCs/>
        </w:rPr>
        <w:t xml:space="preserve">Priya and Arjun Sharma</w:t>
      </w:r>
      <w:r>
        <w:t xml:space="preserve"> (borrowers who sign in to the portal through Cognito), </w:t>
      </w:r>
      <w:r>
        <w:rPr>
          <w:b/>
          <w:bCs/>
        </w:rPr>
        <w:t xml:space="preserve">Ben</w:t>
      </w:r>
      <w:r>
        <w:t xml:space="preserve"> (a broker agent at the fictional Northshore Mortgage Group, using Partner Central), and </w:t>
      </w:r>
      <w:r>
        <w:rPr>
          <w:b/>
          <w:bCs/>
        </w:rPr>
        <w:t xml:space="preserve">Jon Smith / Jonathan Smith</w:t>
      </w:r>
      <w:r>
        <w:t xml:space="preserve"> (a deliberate duplicate pair for identity-resolution tests).</w:t>
      </w:r>
    </w:p>
    <w:p>
      <w:pPr>
        <w:spacing w:after="120"/>
      </w:pPr>
      <w:r>
        <w:t xml:space="preserve">System identities: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apex.integration</w:t>
      </w:r>
      <w:r>
        <w:t xml:space="preserve"> (MuleSoft to Salesforce),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apex.ingest</w:t>
      </w:r>
      <w:r>
        <w:t xml:space="preserve"> (Data 360 ingestion),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apex-funding-int</w:t>
      </w:r>
      <w:r>
        <w:t xml:space="preserve"> (the funding saga),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apex-broker-int</w:t>
      </w:r>
      <w:r>
        <w:t xml:space="preserve"> (the broker submission inbox),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svc-salesforce-to-aws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svc-mule-to-aws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svc-agent-obo</w:t>
      </w:r>
      <w:r>
        <w:t xml:space="preserve"> (token exchange),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svc-broker-pos</w:t>
      </w:r>
      <w:r>
        <w:t xml:space="preserve"> (a broker platform's client, Project 13), and the service agent's own user.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bookmarkStart w:name="s6" w:id="6"/>
      <w:r>
        <w:t xml:space="preserve">6. Data model</w:t>
      </w:r>
      <w:bookmarkEnd w:id="6"/>
    </w:p>
    <w:p>
      <w:pPr>
        <w:pStyle w:val="Heading2"/>
      </w:pPr>
      <w:r>
        <w:t xml:space="preserve">6.1 Salesforce (a custom model shaped like Financial Services Cloud)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9"/>
        <w:gridCol w:w="2513"/>
        <w:gridCol w:w="2692"/>
        <w:gridCol w:w="1315"/>
        <w:gridCol w:w="1221"/>
      </w:tblGrid>
      <w:tr>
        <w:trPr>
          <w:cantSplit/>
          <w:tblHeader/>
        </w:trPr>
        <w:tc>
          <w:tcPr>
            <w:tcW w:type="dxa" w:w="2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Object</w:t>
            </w:r>
          </w:p>
        </w:tc>
        <w:tc>
          <w:tcPr>
            <w:tcW w:type="dxa" w:w="2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2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Key fields</w:t>
            </w:r>
          </w:p>
        </w:tc>
        <w:tc>
          <w:tcPr>
            <w:tcW w:type="dxa" w:w="1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Record access</w:t>
            </w:r>
          </w:p>
        </w:tc>
        <w:tc>
          <w:tcPr>
            <w:tcW w:type="dxa" w:w="1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FSC equivalent ⚠</w:t>
            </w:r>
          </w:p>
        </w:tc>
      </w:tr>
      <w:tr>
        <w:trPr>
          <w:cantSplit/>
        </w:trPr>
        <w:tc>
          <w:tcPr>
            <w:tcW w:type="dxa" w:w="2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Account, record type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Household</w:t>
            </w:r>
          </w:p>
        </w:tc>
        <w:tc>
          <w:tcPr>
            <w:tcW w:type="dxa" w:w="2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borrowing household</w:t>
            </w:r>
          </w:p>
        </w:tc>
        <w:tc>
          <w:tcPr>
            <w:tcW w:type="dxa" w:w="2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Core_Household_Id__c</w:t>
            </w:r>
          </w:p>
        </w:tc>
        <w:tc>
          <w:tcPr>
            <w:tcW w:type="dxa" w:w="1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Private</w:t>
            </w:r>
          </w:p>
        </w:tc>
        <w:tc>
          <w:tcPr>
            <w:tcW w:type="dxa" w:w="1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Household (Account)</w:t>
            </w:r>
          </w:p>
        </w:tc>
      </w:tr>
      <w:tr>
        <w:trPr>
          <w:cantSplit/>
        </w:trPr>
        <w:tc>
          <w:tcPr>
            <w:tcW w:type="dxa" w:w="2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Account, record types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Broker_Firm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Solicitor_Firm</w:t>
            </w:r>
          </w:p>
        </w:tc>
        <w:tc>
          <w:tcPr>
            <w:tcW w:type="dxa" w:w="2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Brokerages and closing law firms (Project 13)</w:t>
            </w:r>
          </w:p>
        </w:tc>
        <w:tc>
          <w:tcPr>
            <w:tcW w:type="dxa" w:w="2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Brokerage_Licence__c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Panel_Status__c</w:t>
            </w:r>
          </w:p>
        </w:tc>
        <w:tc>
          <w:tcPr>
            <w:tcW w:type="dxa" w:w="1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Private (OWD is per object); a sharing rule opens solicitor firms read-only to all internal users (Module 15 SV1)</w:t>
            </w:r>
          </w:p>
        </w:tc>
        <w:tc>
          <w:tcPr>
            <w:tcW w:type="dxa" w:w="1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Business Account</w:t>
            </w:r>
          </w:p>
        </w:tc>
      </w:tr>
      <w:tr>
        <w:trPr>
          <w:cantSplit/>
        </w:trPr>
        <w:tc>
          <w:tcPr>
            <w:tcW w:type="dxa" w:w="2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Contact</w:t>
            </w:r>
          </w:p>
        </w:tc>
        <w:tc>
          <w:tcPr>
            <w:tcW w:type="dxa" w:w="2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Borrowers (and broker agents under a brokerage)</w:t>
            </w:r>
          </w:p>
        </w:tc>
        <w:tc>
          <w:tcPr>
            <w:tcW w:type="dxa" w:w="2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Core_Borrower_Id__c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(External ID),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SIN__c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(optional, encrypted, credit only),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Originator_Id__c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First_Time_Buyer__c</w:t>
            </w:r>
          </w:p>
        </w:tc>
        <w:tc>
          <w:tcPr>
            <w:tcW w:type="dxa" w:w="1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Controlled by parent</w:t>
            </w:r>
          </w:p>
        </w:tc>
        <w:tc>
          <w:tcPr>
            <w:tcW w:type="dxa" w:w="1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Person Account or Contact</w:t>
            </w:r>
          </w:p>
        </w:tc>
      </w:tr>
      <w:tr>
        <w:trPr>
          <w:cantSplit/>
        </w:trPr>
        <w:tc>
          <w:tcPr>
            <w:tcW w:type="dxa" w:w="2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Opportunity</w:t>
            </w:r>
          </w:p>
        </w:tc>
        <w:tc>
          <w:tcPr>
            <w:tcW w:type="dxa" w:w="2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mortgage deal. Record types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Purchase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Refinance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Switch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Renewal</w:t>
            </w:r>
          </w:p>
        </w:tc>
        <w:tc>
          <w:tcPr>
            <w:tcW w:type="dxa" w:w="2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Application_Number__c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(auto number),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Loan_Amount__c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LTV__c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Insured__c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Insurance_Premium__c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Contract_Rate__c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Qualifying_Rate__c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GDS__c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TDS__c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Channel__c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Underwriter__c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Decision__c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Closing_Date__c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Advance_Amount__c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Solicitor__c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Funding_Status__c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Broker__c</w:t>
            </w:r>
          </w:p>
        </w:tc>
        <w:tc>
          <w:tcPr>
            <w:tcW w:type="dxa" w:w="1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Private</w:t>
            </w:r>
          </w:p>
        </w:tc>
        <w:tc>
          <w:tcPr>
            <w:tcW w:type="dxa" w:w="1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Residential Loan Application</w:t>
            </w:r>
          </w:p>
        </w:tc>
      </w:tr>
      <w:tr>
        <w:trPr>
          <w:cantSplit/>
        </w:trPr>
        <w:tc>
          <w:tcPr>
            <w:tcW w:type="dxa" w:w="2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Property__c</w:t>
            </w:r>
          </w:p>
        </w:tc>
        <w:tc>
          <w:tcPr>
            <w:tcW w:type="dxa" w:w="2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subject property (detail of Opportunity)</w:t>
            </w:r>
          </w:p>
        </w:tc>
        <w:tc>
          <w:tcPr>
            <w:tcW w:type="dxa" w:w="2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Purchase_Price__c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Appraised_Value__c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Occupancy__c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New_Build__c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Annual_Property_Tax__c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Monthly_Condo_Fees__c</w:t>
            </w:r>
          </w:p>
        </w:tc>
        <w:tc>
          <w:tcPr>
            <w:tcW w:type="dxa" w:w="1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Controlled by parent</w:t>
            </w:r>
          </w:p>
        </w:tc>
        <w:tc>
          <w:tcPr>
            <w:tcW w:type="dxa" w:w="1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Loan Application Property</w:t>
            </w:r>
          </w:p>
        </w:tc>
      </w:tr>
      <w:tr>
        <w:trPr>
          <w:cantSplit/>
        </w:trPr>
        <w:tc>
          <w:tcPr>
            <w:tcW w:type="dxa" w:w="2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Applicant_Income__c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Liability__c</w:t>
            </w:r>
          </w:p>
        </w:tc>
        <w:tc>
          <w:tcPr>
            <w:tcW w:type="dxa" w:w="2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Each borrower's incomes and debts (details of Opportunity)</w:t>
            </w:r>
          </w:p>
        </w:tc>
        <w:tc>
          <w:tcPr>
            <w:tcW w:type="dxa" w:w="2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Borrower__c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Income_Type__c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Annual_Amount__c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Verified__c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Liability_Type__c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Monthly_Payment__c</w:t>
            </w:r>
          </w:p>
        </w:tc>
        <w:tc>
          <w:tcPr>
            <w:tcW w:type="dxa" w:w="1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Controlled by parent</w:t>
            </w:r>
          </w:p>
        </w:tc>
        <w:tc>
          <w:tcPr>
            <w:tcW w:type="dxa" w:w="1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Loan Applicant Income / Liability</w:t>
            </w:r>
          </w:p>
        </w:tc>
      </w:tr>
      <w:tr>
        <w:trPr>
          <w:cantSplit/>
        </w:trPr>
        <w:tc>
          <w:tcPr>
            <w:tcW w:type="dxa" w:w="2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Condition__c</w:t>
            </w:r>
          </w:p>
        </w:tc>
        <w:tc>
          <w:tcPr>
            <w:tcW w:type="dxa" w:w="2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Commitment conditions (detail of Opportunity)</w:t>
            </w:r>
          </w:p>
        </w:tc>
        <w:tc>
          <w:tcPr>
            <w:tcW w:type="dxa" w:w="2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Condition_Type__c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Status__c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(Outstanding, Received, Satisfied, Waived),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Waiver_Approval__c</w:t>
            </w:r>
          </w:p>
        </w:tc>
        <w:tc>
          <w:tcPr>
            <w:tcW w:type="dxa" w:w="1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Controlled by parent</w:t>
            </w:r>
          </w:p>
        </w:tc>
        <w:tc>
          <w:tcPr>
            <w:tcW w:type="dxa" w:w="1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 (often custom)</w:t>
            </w:r>
          </w:p>
        </w:tc>
      </w:tr>
      <w:tr>
        <w:trPr>
          <w:cantSplit/>
        </w:trPr>
        <w:tc>
          <w:tcPr>
            <w:tcW w:type="dxa" w:w="2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Loan__c</w:t>
            </w:r>
          </w:p>
        </w:tc>
        <w:tc>
          <w:tcPr>
            <w:tcW w:type="dxa" w:w="2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Mirror of a boarded loan</w:t>
            </w:r>
          </w:p>
        </w:tc>
        <w:tc>
          <w:tcPr>
            <w:tcW w:type="dxa" w:w="2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Core_Loan_Id__c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(External ID),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Household__c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Primary_Borrower__c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Product__c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Principal_Balance__c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Interest_Rate__c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Maturity_Date__c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Status__c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Arrears_Days__c</w:t>
            </w:r>
          </w:p>
        </w:tc>
        <w:tc>
          <w:tcPr>
            <w:tcW w:type="dxa" w:w="1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Private</w:t>
            </w:r>
          </w:p>
        </w:tc>
        <w:tc>
          <w:tcPr>
            <w:tcW w:type="dxa" w:w="1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Financial Account (type Mortgage)</w:t>
            </w:r>
          </w:p>
        </w:tc>
      </w:tr>
      <w:tr>
        <w:trPr>
          <w:cantSplit/>
        </w:trPr>
        <w:tc>
          <w:tcPr>
            <w:tcW w:type="dxa" w:w="2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Loan_Party__c</w:t>
            </w:r>
          </w:p>
        </w:tc>
        <w:tc>
          <w:tcPr>
            <w:tcW w:type="dxa" w:w="2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Each borrower's role on a loan (detail of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Loan__c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)</w:t>
            </w:r>
          </w:p>
        </w:tc>
        <w:tc>
          <w:tcPr>
            <w:tcW w:type="dxa" w:w="2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Borrower__c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Role__c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(Primary, Co-borrower, Guarantor),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Core_Party_Key__c</w:t>
            </w:r>
          </w:p>
        </w:tc>
        <w:tc>
          <w:tcPr>
            <w:tcW w:type="dxa" w:w="1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Controlled by parent</w:t>
            </w:r>
          </w:p>
        </w:tc>
        <w:tc>
          <w:tcPr>
            <w:tcW w:type="dxa" w:w="1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Financial Account Party</w:t>
            </w:r>
          </w:p>
        </w:tc>
      </w:tr>
      <w:tr>
        <w:trPr>
          <w:cantSplit/>
        </w:trPr>
        <w:tc>
          <w:tcPr>
            <w:tcW w:type="dxa" w:w="2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Approval_Request__c</w:t>
            </w:r>
          </w:p>
        </w:tc>
        <w:tc>
          <w:tcPr>
            <w:tcW w:type="dxa" w:w="2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Durable approvals</w:t>
            </w:r>
          </w:p>
        </w:tc>
        <w:tc>
          <w:tcPr>
            <w:tcW w:type="dxa" w:w="2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Action_Type__c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ADDRESS_CHANGE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CONDITION_WAIVER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RATE_EXCEPTION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FUND_LOAN</w:t>
            </w:r>
            <w:r>
              <w:rPr>
                <w:b w:val="false"/>
                <w:bCs w:val="false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Action_Hash__c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Payload__c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Status__c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Expires_At__c</w:t>
            </w:r>
          </w:p>
        </w:tc>
        <w:tc>
          <w:tcPr>
            <w:tcW w:type="dxa" w:w="1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Private</w:t>
            </w:r>
          </w:p>
        </w:tc>
        <w:tc>
          <w:tcPr>
            <w:tcW w:type="dxa" w:w="1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Broker_Submission__c</w:t>
            </w:r>
          </w:p>
        </w:tc>
        <w:tc>
          <w:tcPr>
            <w:tcW w:type="dxa" w:w="2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inbox for broker deal submissions (Project 13 §5 B9)</w:t>
            </w:r>
          </w:p>
        </w:tc>
        <w:tc>
          <w:tcPr>
            <w:tcW w:type="dxa" w:w="2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Submission_Key__c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(External ID),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Payload_Hash__c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Status__c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Deal__c</w:t>
            </w:r>
          </w:p>
        </w:tc>
        <w:tc>
          <w:tcPr>
            <w:tcW w:type="dxa" w:w="1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Private</w:t>
            </w:r>
          </w:p>
        </w:tc>
        <w:tc>
          <w:tcPr>
            <w:tcW w:type="dxa" w:w="1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Case</w:t>
            </w:r>
          </w:p>
        </w:tc>
        <w:tc>
          <w:tcPr>
            <w:tcW w:type="dxa" w:w="2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Record types Service Request, Address Change, Complaint, Financial Hardship</w:t>
            </w:r>
          </w:p>
        </w:tc>
        <w:tc>
          <w:tcPr>
            <w:tcW w:type="dxa" w:w="2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Private</w:t>
            </w:r>
          </w:p>
        </w:tc>
        <w:tc>
          <w:tcPr>
            <w:tcW w:type="dxa" w:w="1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Platform events</w:t>
            </w:r>
          </w:p>
        </w:tc>
        <w:tc>
          <w:tcPr>
            <w:tcW w:type="dxa" w:w="2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Borrower_Address_Changed__e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Approved_Action__e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Renewal_Due__e</w:t>
            </w:r>
          </w:p>
        </w:tc>
        <w:tc>
          <w:tcPr>
            <w:tcW w:type="dxa" w:w="2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Loan_Balance_Snapshot__b</w:t>
            </w:r>
          </w:p>
        </w:tc>
        <w:tc>
          <w:tcPr>
            <w:tcW w:type="dxa" w:w="2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Monthly balance history (big object, Module 14)</w:t>
            </w:r>
          </w:p>
        </w:tc>
        <w:tc>
          <w:tcPr>
            <w:tcW w:type="dxa" w:w="2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Core_Loan_Id__c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Snapshot_Date__c</w:t>
            </w:r>
          </w:p>
        </w:tc>
        <w:tc>
          <w:tcPr>
            <w:tcW w:type="dxa" w:w="1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ArchivedPayment__x</w:t>
            </w:r>
          </w:p>
        </w:tc>
        <w:tc>
          <w:tcPr>
            <w:tcW w:type="dxa" w:w="2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Payments older than 24 months, read from the S3 archive (external object, Module 14)</w:t>
            </w:r>
          </w:p>
        </w:tc>
        <w:tc>
          <w:tcPr>
            <w:tcW w:type="dxa" w:w="2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LoanRef</w:t>
            </w:r>
            <w:r>
              <w:rPr>
                <w:b w:val="false"/>
                <w:bCs w:val="false"/>
                <w:sz w:val="17"/>
                <w:szCs w:val="17"/>
              </w:rPr>
              <w:t xml:space="preserve"> (indirect lookup)</w:t>
            </w:r>
          </w:p>
        </w:tc>
        <w:tc>
          <w:tcPr>
            <w:tcW w:type="dxa" w:w="1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Checked in the adapter</w:t>
            </w:r>
          </w:p>
        </w:tc>
        <w:tc>
          <w:tcPr>
            <w:tcW w:type="dxa" w:w="1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FSC ships a residential-loan model (Residential Loan Application, Loan Applicant, Loan Applicant Income, Loan Application Property, Loan Application Liability, and more). Module 14 MG8 maps the custom model onto it; confirm the API names in an FSC org ⚠.</w:t>
      </w:r>
    </w:p>
    <w:p>
      <w:pPr>
        <w:pStyle w:val="Heading2"/>
      </w:pPr>
      <w:r>
        <w:t xml:space="preserve">6.2 Servicing system (the DC-sim Postgres database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servicing</w:t>
      </w:r>
      <w:r>
        <w:t xml:space="preserve">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12"/>
        <w:gridCol w:w="4881"/>
        <w:gridCol w:w="1487"/>
      </w:tblGrid>
      <w:tr>
        <w:trPr>
          <w:cantSplit/>
          <w:tblHeader/>
        </w:trPr>
        <w:tc>
          <w:tcPr>
            <w:tcW w:type="dxa" w:w="3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Table</w:t>
            </w:r>
          </w:p>
        </w:tc>
        <w:tc>
          <w:tcPr>
            <w:tcW w:type="dxa" w:w="4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Contents</w:t>
            </w:r>
          </w:p>
        </w:tc>
        <w:tc>
          <w:tcPr>
            <w:tcW w:type="dxa" w:w="1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Added in</w:t>
            </w:r>
          </w:p>
        </w:tc>
      </w:tr>
      <w:tr>
        <w:trPr>
          <w:cantSplit/>
        </w:trPr>
        <w:tc>
          <w:tcPr>
            <w:tcW w:type="dxa" w:w="3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borrowers</w:t>
            </w:r>
          </w:p>
        </w:tc>
        <w:tc>
          <w:tcPr>
            <w:tcW w:type="dxa" w:w="4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Borrower identity and mailing address</w:t>
            </w:r>
          </w:p>
        </w:tc>
        <w:tc>
          <w:tcPr>
            <w:tcW w:type="dxa" w:w="1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Project 02</w:t>
            </w:r>
          </w:p>
        </w:tc>
      </w:tr>
      <w:tr>
        <w:trPr>
          <w:cantSplit/>
        </w:trPr>
        <w:tc>
          <w:tcPr>
            <w:tcW w:type="dxa" w:w="3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loans</w:t>
            </w:r>
          </w:p>
        </w:tc>
        <w:tc>
          <w:tcPr>
            <w:tcW w:type="dxa" w:w="4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Boarded loans: product, rate, balance, term, maturity, payment, insurer, status</w:t>
            </w:r>
          </w:p>
        </w:tc>
        <w:tc>
          <w:tcPr>
            <w:tcW w:type="dxa" w:w="1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Project 02</w:t>
            </w:r>
          </w:p>
        </w:tc>
      </w:tr>
      <w:tr>
        <w:trPr>
          <w:cantSplit/>
        </w:trPr>
        <w:tc>
          <w:tcPr>
            <w:tcW w:type="dxa" w:w="3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loan_parties</w:t>
            </w:r>
          </w:p>
        </w:tc>
        <w:tc>
          <w:tcPr>
            <w:tcW w:type="dxa" w:w="4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Which borrowers are on which loan, and their roles</w:t>
            </w:r>
          </w:p>
        </w:tc>
        <w:tc>
          <w:tcPr>
            <w:tcW w:type="dxa" w:w="1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Project 02</w:t>
            </w:r>
          </w:p>
        </w:tc>
      </w:tr>
      <w:tr>
        <w:trPr>
          <w:cantSplit/>
        </w:trPr>
        <w:tc>
          <w:tcPr>
            <w:tcW w:type="dxa" w:w="3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payments</w:t>
            </w:r>
          </w:p>
        </w:tc>
        <w:tc>
          <w:tcPr>
            <w:tcW w:type="dxa" w:w="4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About 1M payment records: amount, principal, interest, type, status</w:t>
            </w:r>
          </w:p>
        </w:tc>
        <w:tc>
          <w:tcPr>
            <w:tcW w:type="dxa" w:w="1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Project 02</w:t>
            </w:r>
          </w:p>
        </w:tc>
      </w:tr>
      <w:tr>
        <w:trPr>
          <w:cantSplit/>
        </w:trPr>
        <w:tc>
          <w:tcPr>
            <w:tcW w:type="dxa" w:w="3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originator_borrowers</w:t>
            </w:r>
          </w:p>
        </w:tc>
        <w:tc>
          <w:tcPr>
            <w:tcW w:type="dxa" w:w="4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Row-level authorization: which specialist originated which borrower</w:t>
            </w:r>
          </w:p>
        </w:tc>
        <w:tc>
          <w:tcPr>
            <w:tcW w:type="dxa" w:w="1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Project 02</w:t>
            </w:r>
          </w:p>
        </w:tc>
      </w:tr>
      <w:tr>
        <w:trPr>
          <w:cantSplit/>
        </w:trPr>
        <w:tc>
          <w:tcPr>
            <w:tcW w:type="dxa" w:w="3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approved_solicitors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advances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idempotency_keys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outbox</w:t>
            </w:r>
          </w:p>
        </w:tc>
        <w:tc>
          <w:tcPr>
            <w:tcW w:type="dxa" w:w="4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Funding saga, funder release, transactional outbox</w:t>
            </w:r>
          </w:p>
        </w:tc>
        <w:tc>
          <w:tcPr>
            <w:tcW w:type="dxa" w:w="1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Project 13 §1.3</w:t>
            </w:r>
          </w:p>
        </w:tc>
      </w:tr>
      <w:tr>
        <w:trPr>
          <w:cantSplit/>
        </w:trPr>
        <w:tc>
          <w:tcPr>
            <w:tcW w:type="dxa" w:w="3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pad_returns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payments.changed_at</w:t>
            </w:r>
          </w:p>
        </w:tc>
        <w:tc>
          <w:tcPr>
            <w:tcW w:type="dxa" w:w="4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clearing bank's returns file; the change watermark for the nightly extract</w:t>
            </w:r>
          </w:p>
        </w:tc>
        <w:tc>
          <w:tcPr>
            <w:tcW w:type="dxa" w:w="1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Project 13 §6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6.3 Identifier formats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6"/>
        <w:gridCol w:w="3699"/>
        <w:gridCol w:w="2806"/>
        <w:gridCol w:w="1819"/>
      </w:tblGrid>
      <w:tr>
        <w:trPr>
          <w:cantSplit/>
          <w:tblHeader/>
        </w:trPr>
        <w:tc>
          <w:tcPr>
            <w:tcW w:type="dxa" w:w="17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Identifier</w:t>
            </w:r>
          </w:p>
        </w:tc>
        <w:tc>
          <w:tcPr>
            <w:tcW w:type="dxa" w:w="3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Format</w:t>
            </w:r>
          </w:p>
        </w:tc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Examples</w:t>
            </w:r>
          </w:p>
        </w:tc>
        <w:tc>
          <w:tcPr>
            <w:tcW w:type="dxa" w:w="1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</w:tr>
      <w:tr>
        <w:trPr>
          <w:cantSplit/>
        </w:trPr>
        <w:tc>
          <w:tcPr>
            <w:tcW w:type="dxa" w:w="17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Borrower</w:t>
            </w:r>
          </w:p>
        </w:tc>
        <w:tc>
          <w:tcPr>
            <w:tcW w:type="dxa" w:w="3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B-</w:t>
            </w:r>
            <w:r>
              <w:rPr>
                <w:b w:val="false"/>
                <w:bCs w:val="false"/>
                <w:sz w:val="17"/>
                <w:szCs w:val="17"/>
              </w:rPr>
              <w:t xml:space="preserve"> + digits (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^B-\d{4,6}$</w:t>
            </w:r>
            <w:r>
              <w:rPr>
                <w:b w:val="false"/>
                <w:bCs w:val="false"/>
                <w:sz w:val="17"/>
                <w:szCs w:val="17"/>
              </w:rPr>
              <w:t xml:space="preserve">)</w:t>
            </w:r>
          </w:p>
        </w:tc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B-1042</w:t>
            </w:r>
            <w:r>
              <w:rPr>
                <w:b w:val="false"/>
                <w:bCs w:val="false"/>
                <w:sz w:val="17"/>
                <w:szCs w:val="17"/>
              </w:rPr>
              <w:t xml:space="preserve"> (stub),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B-00001</w:t>
            </w:r>
            <w:r>
              <w:rPr>
                <w:b w:val="false"/>
                <w:bCs w:val="false"/>
                <w:sz w:val="17"/>
                <w:szCs w:val="17"/>
              </w:rPr>
              <w:t xml:space="preserve"> (seed),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B-100000</w:t>
            </w:r>
            <w:r>
              <w:rPr>
                <w:b w:val="false"/>
                <w:bCs w:val="false"/>
                <w:sz w:val="17"/>
                <w:szCs w:val="17"/>
              </w:rPr>
              <w:t xml:space="preserve">+ (funding saga)</w:t>
            </w:r>
          </w:p>
        </w:tc>
        <w:tc>
          <w:tcPr>
            <w:tcW w:type="dxa" w:w="1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Servicing</w:t>
            </w:r>
          </w:p>
        </w:tc>
      </w:tr>
      <w:tr>
        <w:trPr>
          <w:cantSplit/>
        </w:trPr>
        <w:tc>
          <w:tcPr>
            <w:tcW w:type="dxa" w:w="17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Loan</w:t>
            </w:r>
          </w:p>
        </w:tc>
        <w:tc>
          <w:tcPr>
            <w:tcW w:type="dxa" w:w="3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L-</w:t>
            </w:r>
            <w:r>
              <w:rPr>
                <w:b w:val="false"/>
                <w:bCs w:val="false"/>
                <w:sz w:val="17"/>
                <w:szCs w:val="17"/>
              </w:rPr>
              <w:t xml:space="preserve"> + digits (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^L-\d{5,6}$</w:t>
            </w:r>
            <w:r>
              <w:rPr>
                <w:b w:val="false"/>
                <w:bCs w:val="false"/>
                <w:sz w:val="17"/>
                <w:szCs w:val="17"/>
              </w:rPr>
              <w:t xml:space="preserve">)</w:t>
            </w:r>
          </w:p>
        </w:tc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L-000001</w:t>
            </w:r>
            <w:r>
              <w:rPr>
                <w:b w:val="false"/>
                <w:bCs w:val="false"/>
                <w:sz w:val="17"/>
                <w:szCs w:val="17"/>
              </w:rPr>
              <w:t xml:space="preserve"> (seed),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L-500000</w:t>
            </w:r>
            <w:r>
              <w:rPr>
                <w:b w:val="false"/>
                <w:bCs w:val="false"/>
                <w:sz w:val="17"/>
                <w:szCs w:val="17"/>
              </w:rPr>
              <w:t xml:space="preserve">+ (funding saga)</w:t>
            </w:r>
          </w:p>
        </w:tc>
        <w:tc>
          <w:tcPr>
            <w:tcW w:type="dxa" w:w="1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Servicing</w:t>
            </w:r>
          </w:p>
        </w:tc>
      </w:tr>
      <w:tr>
        <w:trPr>
          <w:cantSplit/>
        </w:trPr>
        <w:tc>
          <w:tcPr>
            <w:tcW w:type="dxa" w:w="17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Payment</w:t>
            </w:r>
          </w:p>
        </w:tc>
        <w:tc>
          <w:tcPr>
            <w:tcW w:type="dxa" w:w="3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P-</w:t>
            </w:r>
            <w:r>
              <w:rPr>
                <w:b w:val="false"/>
                <w:bCs w:val="false"/>
                <w:sz w:val="17"/>
                <w:szCs w:val="17"/>
              </w:rPr>
              <w:t xml:space="preserve"> + 8 digits</w:t>
            </w:r>
          </w:p>
        </w:tc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P-00000001</w:t>
            </w:r>
          </w:p>
        </w:tc>
        <w:tc>
          <w:tcPr>
            <w:tcW w:type="dxa" w:w="1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Servicing</w:t>
            </w:r>
          </w:p>
        </w:tc>
      </w:tr>
      <w:tr>
        <w:trPr>
          <w:cantSplit/>
        </w:trPr>
        <w:tc>
          <w:tcPr>
            <w:tcW w:type="dxa" w:w="17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Application</w:t>
            </w:r>
          </w:p>
        </w:tc>
        <w:tc>
          <w:tcPr>
            <w:tcW w:type="dxa" w:w="3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APP-</w:t>
            </w:r>
            <w:r>
              <w:rPr>
                <w:b w:val="false"/>
                <w:bCs w:val="false"/>
                <w:sz w:val="17"/>
                <w:szCs w:val="17"/>
              </w:rPr>
              <w:t xml:space="preserve"> + 6 digits (auto number on Opportunity)</w:t>
            </w:r>
          </w:p>
        </w:tc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APP-000123</w:t>
            </w:r>
          </w:p>
        </w:tc>
        <w:tc>
          <w:tcPr>
            <w:tcW w:type="dxa" w:w="1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Salesforce</w:t>
            </w:r>
          </w:p>
        </w:tc>
      </w:tr>
      <w:tr>
        <w:trPr>
          <w:cantSplit/>
        </w:trPr>
        <w:tc>
          <w:tcPr>
            <w:tcW w:type="dxa" w:w="17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Originator</w:t>
            </w:r>
          </w:p>
        </w:tc>
        <w:tc>
          <w:tcPr>
            <w:tcW w:type="dxa" w:w="3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MS-</w:t>
            </w:r>
            <w:r>
              <w:rPr>
                <w:b w:val="false"/>
                <w:bCs w:val="false"/>
                <w:sz w:val="17"/>
                <w:szCs w:val="17"/>
              </w:rPr>
              <w:t xml:space="preserve"> + 3 digits for a specialist;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BRK-</w:t>
            </w:r>
            <w:r>
              <w:rPr>
                <w:b w:val="false"/>
                <w:bCs w:val="false"/>
                <w:sz w:val="17"/>
                <w:szCs w:val="17"/>
              </w:rPr>
              <w:t xml:space="preserve"> + 4 digits for a brokerage (broker-channel borrowers)</w:t>
            </w:r>
          </w:p>
        </w:tc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MS-001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BRK-0001</w:t>
            </w:r>
          </w:p>
        </w:tc>
        <w:tc>
          <w:tcPr>
            <w:tcW w:type="dxa" w:w="1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Salesforce and Okta</w:t>
            </w:r>
          </w:p>
        </w:tc>
      </w:tr>
      <w:tr>
        <w:trPr>
          <w:cantSplit/>
        </w:trPr>
        <w:tc>
          <w:tcPr>
            <w:tcW w:type="dxa" w:w="17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Solicitor</w:t>
            </w:r>
          </w:p>
        </w:tc>
        <w:tc>
          <w:tcPr>
            <w:tcW w:type="dxa" w:w="3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SOL-</w:t>
            </w:r>
            <w:r>
              <w:rPr>
                <w:b w:val="false"/>
                <w:bCs w:val="false"/>
                <w:sz w:val="17"/>
                <w:szCs w:val="17"/>
              </w:rPr>
              <w:t xml:space="preserve"> + 4 digits</w:t>
            </w:r>
          </w:p>
        </w:tc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SOL-0042</w:t>
            </w:r>
          </w:p>
        </w:tc>
        <w:tc>
          <w:tcPr>
            <w:tcW w:type="dxa" w:w="1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Servicing (approved panel)</w:t>
            </w:r>
          </w:p>
        </w:tc>
      </w:tr>
      <w:tr>
        <w:trPr>
          <w:cantSplit/>
        </w:trPr>
        <w:tc>
          <w:tcPr>
            <w:tcW w:type="dxa" w:w="17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Advance</w:t>
            </w:r>
          </w:p>
        </w:tc>
        <w:tc>
          <w:tcPr>
            <w:tcW w:type="dxa" w:w="3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AV-</w:t>
            </w:r>
            <w:r>
              <w:rPr>
                <w:b w:val="false"/>
                <w:bCs w:val="false"/>
                <w:sz w:val="17"/>
                <w:szCs w:val="17"/>
              </w:rPr>
              <w:t xml:space="preserve"> + digits</w:t>
            </w:r>
          </w:p>
        </w:tc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AV-700000</w:t>
            </w:r>
          </w:p>
        </w:tc>
        <w:tc>
          <w:tcPr>
            <w:tcW w:type="dxa" w:w="1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Servicing</w:t>
            </w:r>
          </w:p>
        </w:tc>
      </w:tr>
      <w:tr>
        <w:trPr>
          <w:cantSplit/>
        </w:trPr>
        <w:tc>
          <w:tcPr>
            <w:tcW w:type="dxa" w:w="17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Broker deal reference</w:t>
            </w:r>
          </w:p>
        </w:tc>
        <w:tc>
          <w:tcPr>
            <w:tcW w:type="dxa" w:w="3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Unique per brokerage</w:t>
            </w:r>
          </w:p>
        </w:tc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NMG-2026-00931</w:t>
            </w:r>
          </w:p>
        </w:tc>
        <w:tc>
          <w:tcPr>
            <w:tcW w:type="dxa" w:w="1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Broker platform</w:t>
            </w:r>
          </w:p>
        </w:tc>
      </w:tr>
    </w:tbl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bookmarkStart w:name="s7" w:id="7"/>
      <w:r>
        <w:t xml:space="preserve">7. What automation and AI may do</w:t>
      </w:r>
      <w:bookmarkEnd w:id="7"/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2"/>
        <w:gridCol w:w="4643"/>
        <w:gridCol w:w="3885"/>
      </w:tblGrid>
      <w:tr>
        <w:trPr>
          <w:cantSplit/>
          <w:tblHeader/>
        </w:trPr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Class</w:t>
            </w:r>
          </w:p>
        </w:tc>
        <w:tc>
          <w:tcPr>
            <w:tcW w:type="dxa" w:w="4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Actions</w:t>
            </w:r>
          </w:p>
        </w:tc>
        <w:tc>
          <w:tcPr>
            <w:tcW w:type="dxa" w:w="3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Enforced by</w:t>
            </w:r>
          </w:p>
        </w:tc>
      </w:tr>
      <w:tr>
        <w:trPr>
          <w:cantSplit/>
        </w:trPr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Autonomous (read)</w:t>
            </w:r>
          </w:p>
        </w:tc>
        <w:tc>
          <w:tcPr>
            <w:tcW w:type="dxa" w:w="4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Borrower and application summaries, outstanding conditions, policy answers with citations, qualification results from the deterministic service</w:t>
            </w:r>
          </w:p>
        </w:tc>
        <w:tc>
          <w:tcPr>
            <w:tcW w:type="dxa" w:w="3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Scopes, MCP attribute-based access control, row-level checks in the system APIs</w:t>
            </w:r>
          </w:p>
        </w:tc>
      </w:tr>
      <w:tr>
        <w:trPr>
          <w:cantSplit/>
        </w:trPr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Prepare and confirm</w:t>
            </w:r>
          </w:p>
        </w:tc>
        <w:tc>
          <w:tcPr>
            <w:tcW w:type="dxa" w:w="4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Create a service case</w:t>
            </w:r>
          </w:p>
        </w:tc>
        <w:tc>
          <w:tcPr>
            <w:tcW w:type="dxa" w:w="3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user confirms in chat;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Idempotency-Key</w:t>
            </w:r>
          </w:p>
        </w:tc>
      </w:tr>
      <w:tr>
        <w:trPr>
          <w:cantSplit/>
        </w:trPr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Mandatory approval</w:t>
            </w:r>
          </w:p>
        </w:tc>
        <w:tc>
          <w:tcPr>
            <w:tcW w:type="dxa" w:w="4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Address change, condition waiver, rate exception, funding</w:t>
            </w:r>
          </w:p>
        </w:tc>
        <w:tc>
          <w:tcPr>
            <w:tcW w:type="dxa" w:w="3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Approval_Request__c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 bound to an action hash; approver ≠ requester; step-up MFA for funding</w:t>
            </w:r>
          </w:p>
        </w:tc>
      </w:tr>
      <w:tr>
        <w:trPr>
          <w:cantSplit/>
        </w:trPr>
        <w:tc>
          <w:tcPr>
            <w:tcW w:type="dxa" w:w="1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Prohibited for AI</w:t>
            </w:r>
          </w:p>
        </w:tc>
        <w:tc>
          <w:tcPr>
            <w:tcW w:type="dxa" w:w="4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Approve or decline credit; set or change a rate; override the stress test or a policy limit; mark a condition satisfied; release funds; decide hardship relief; decide or file FINTRAC reports; give a borrower mortgage advice</w:t>
            </w:r>
          </w:p>
        </w:tc>
        <w:tc>
          <w:tcPr>
            <w:tcW w:type="dxa" w:w="3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No tool exists for any of them, and the evaluation suites test the refusals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 short version for interviews: </w:t>
      </w:r>
      <w:r>
        <w:rPr>
          <w:b/>
          <w:bCs/>
        </w:rPr>
        <w:t xml:space="preserve">the model never does mortgage maths, never decides credit and never moves money.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bookmarkStart w:name="s8" w:id="8"/>
      <w:r>
        <w:t xml:space="preserve">8. Where each part of the domain is built</w:t>
      </w:r>
      <w:bookmarkEnd w:id="8"/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5"/>
        <w:gridCol w:w="6055"/>
      </w:tblGrid>
      <w:tr>
        <w:trPr>
          <w:cantSplit/>
          <w:tblHeader/>
        </w:trPr>
        <w:tc>
          <w:tcPr>
            <w:tcW w:type="dxa" w:w="4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Domain area</w:t>
            </w:r>
          </w:p>
        </w:tc>
        <w:tc>
          <w:tcPr>
            <w:tcW w:type="dxa" w:w="6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Built in</w:t>
            </w:r>
          </w:p>
        </w:tc>
      </w:tr>
      <w:tr>
        <w:trPr>
          <w:cantSplit/>
        </w:trPr>
        <w:tc>
          <w:tcPr>
            <w:tcW w:type="dxa" w:w="4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Origination: leads, pre-approval, application, conditions</w:t>
            </w:r>
          </w:p>
        </w:tc>
        <w:tc>
          <w:tcPr>
            <w:tcW w:type="dxa" w:w="6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03, 05, 07, 08 (S, O, F labs)</w:t>
            </w:r>
          </w:p>
        </w:tc>
      </w:tr>
      <w:tr>
        <w:trPr>
          <w:cantSplit/>
        </w:trPr>
        <w:tc>
          <w:tcPr>
            <w:tcW w:type="dxa" w:w="4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Underwriting and credit policy</w:t>
            </w:r>
          </w:p>
        </w:tc>
        <w:tc>
          <w:tcPr>
            <w:tcW w:type="dxa" w:w="6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05 (qualification service), 12 A1–A5 (Credit Policy agent), 13 §4.11 (bureau and insurer)</w:t>
            </w:r>
          </w:p>
        </w:tc>
      </w:tr>
      <w:tr>
        <w:trPr>
          <w:cantSplit/>
        </w:trPr>
        <w:tc>
          <w:tcPr>
            <w:tcW w:type="dxa" w:w="4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Funding and boarding</w:t>
            </w:r>
          </w:p>
        </w:tc>
        <w:tc>
          <w:tcPr>
            <w:tcW w:type="dxa" w:w="6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13 §4 (funding saga)</w:t>
            </w:r>
          </w:p>
        </w:tc>
      </w:tr>
      <w:tr>
        <w:trPr>
          <w:cantSplit/>
        </w:trPr>
        <w:tc>
          <w:tcPr>
            <w:tcW w:type="dxa" w:w="4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Servicing</w:t>
            </w:r>
          </w:p>
        </w:tc>
        <w:tc>
          <w:tcPr>
            <w:tcW w:type="dxa" w:w="6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02, 06 (nightly payments, address-change saga), 13 §6 (PAD returns), 16 (borrower service agent)</w:t>
            </w:r>
          </w:p>
        </w:tc>
      </w:tr>
      <w:tr>
        <w:trPr>
          <w:cantSplit/>
        </w:trPr>
        <w:tc>
          <w:tcPr>
            <w:tcW w:type="dxa" w:w="4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Renewals and retention</w:t>
            </w:r>
          </w:p>
        </w:tc>
        <w:tc>
          <w:tcPr>
            <w:tcW w:type="dxa" w:w="6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04 (renewal alerts), 09, 12 M1–M2 (renewal-attrition model)</w:t>
            </w:r>
          </w:p>
        </w:tc>
      </w:tr>
      <w:tr>
        <w:trPr>
          <w:cantSplit/>
        </w:trPr>
        <w:tc>
          <w:tcPr>
            <w:tcW w:type="dxa" w:w="4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Broker channel (B2B)</w:t>
            </w:r>
          </w:p>
        </w:tc>
        <w:tc>
          <w:tcPr>
            <w:tcW w:type="dxa" w:w="6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13 §5</w:t>
            </w:r>
          </w:p>
        </w:tc>
      </w:tr>
      <w:tr>
        <w:trPr>
          <w:cantSplit/>
        </w:trPr>
        <w:tc>
          <w:tcPr>
            <w:tcW w:type="dxa" w:w="4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Data, privacy and governance</w:t>
            </w:r>
          </w:p>
        </w:tc>
        <w:tc>
          <w:tcPr>
            <w:tcW w:type="dxa" w:w="6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4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Security and identity</w:t>
            </w:r>
          </w:p>
        </w:tc>
        <w:tc>
          <w:tcPr>
            <w:tcW w:type="dxa" w:w="6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01, 03, 15</w:t>
            </w:r>
          </w:p>
        </w:tc>
      </w:tr>
    </w:tbl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bookmarkStart w:name="s9" w:id="9"/>
      <w:r>
        <w:t xml:space="preserve">9. Term map: wealth edition → mortgage edition</w:t>
      </w:r>
      <w:bookmarkEnd w:id="9"/>
    </w:p>
    <w:p>
      <w:pPr>
        <w:spacing w:after="120"/>
      </w:pPr>
      <w:r>
        <w:t xml:space="preserve">If you have an earlier copy of the programme, this is what changed.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2"/>
        <w:gridCol w:w="3684"/>
        <w:gridCol w:w="4744"/>
      </w:tblGrid>
      <w:tr>
        <w:trPr>
          <w:cantSplit/>
          <w:tblHeader/>
        </w:trPr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Area</w:t>
            </w:r>
          </w:p>
        </w:tc>
        <w:tc>
          <w:tcPr>
            <w:tcW w:type="dxa" w:w="3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Wealth edition</w:t>
            </w:r>
          </w:p>
        </w:tc>
        <w:tc>
          <w:tcPr>
            <w:tcW w:type="dxa" w:w="4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Mortgage edition</w:t>
            </w:r>
          </w:p>
        </w:tc>
      </w:tr>
      <w:tr>
        <w:trPr>
          <w:cantSplit/>
        </w:trPr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Company</w:t>
            </w:r>
          </w:p>
        </w:tc>
        <w:tc>
          <w:tcPr>
            <w:tcW w:type="dxa" w:w="3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Apex Financial Services (wealth management)</w:t>
            </w:r>
          </w:p>
        </w:tc>
        <w:tc>
          <w:tcPr>
            <w:tcW w:type="dxa" w:w="4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Apex Home Lending (trust and loan company)</w:t>
            </w:r>
          </w:p>
        </w:tc>
      </w:tr>
      <w:tr>
        <w:trPr>
          <w:cantSplit/>
        </w:trPr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Domains</w:t>
            </w:r>
          </w:p>
        </w:tc>
        <w:tc>
          <w:tcPr>
            <w:tcW w:type="dxa" w:w="3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apexfs.dev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apexfs.example</w:t>
            </w:r>
          </w:p>
        </w:tc>
        <w:tc>
          <w:tcPr>
            <w:tcW w:type="dxa" w:w="4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apexhl.dev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apexhl.example</w:t>
            </w:r>
          </w:p>
        </w:tc>
      </w:tr>
      <w:tr>
        <w:trPr>
          <w:cantSplit/>
        </w:trPr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Front-office persona</w:t>
            </w:r>
          </w:p>
        </w:tc>
        <w:tc>
          <w:tcPr>
            <w:tcW w:type="dxa" w:w="3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alice.advisor</w:t>
            </w:r>
            <w:r>
              <w:rPr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bob.advisor</w:t>
            </w:r>
            <w:r>
              <w:rPr>
                <w:b w:val="false"/>
                <w:bCs w:val="false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ADV-001</w:t>
            </w:r>
            <w:r>
              <w:rPr>
                <w:b w:val="false"/>
                <w:bCs w:val="false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002</w:t>
            </w:r>
            <w:r>
              <w:rPr>
                <w:b w:val="false"/>
                <w:bCs w:val="false"/>
                <w:sz w:val="17"/>
                <w:szCs w:val="17"/>
              </w:rPr>
              <w:t xml:space="preserve">)</w:t>
            </w:r>
          </w:p>
        </w:tc>
        <w:tc>
          <w:tcPr>
            <w:tcW w:type="dxa" w:w="4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alice.specialist</w:t>
            </w:r>
            <w:r>
              <w:rPr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bob.specialist</w:t>
            </w:r>
            <w:r>
              <w:rPr>
                <w:b w:val="false"/>
                <w:bCs w:val="false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MS-001</w:t>
            </w:r>
            <w:r>
              <w:rPr>
                <w:b w:val="false"/>
                <w:bCs w:val="false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002</w:t>
            </w:r>
            <w:r>
              <w:rPr>
                <w:b w:val="false"/>
                <w:bCs w:val="false"/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Approver persona</w:t>
            </w:r>
          </w:p>
        </w:tc>
        <w:tc>
          <w:tcPr>
            <w:tcW w:type="dxa" w:w="3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carol.compliance</w:t>
            </w:r>
          </w:p>
        </w:tc>
        <w:tc>
          <w:tcPr>
            <w:tcW w:type="dxa" w:w="4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carol.credit</w:t>
            </w:r>
            <w:r>
              <w:rPr>
                <w:b w:val="false"/>
                <w:bCs w:val="false"/>
                <w:sz w:val="17"/>
                <w:szCs w:val="17"/>
              </w:rPr>
              <w:t xml:space="preserve">; new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uma.underwriter</w:t>
            </w:r>
          </w:p>
        </w:tc>
      </w:tr>
      <w:tr>
        <w:trPr>
          <w:cantSplit/>
        </w:trPr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Okta groups</w:t>
            </w:r>
          </w:p>
        </w:tc>
        <w:tc>
          <w:tcPr>
            <w:tcW w:type="dxa" w:w="3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apex-advisors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apex-compliance</w:t>
            </w:r>
          </w:p>
        </w:tc>
        <w:tc>
          <w:tcPr>
            <w:tcW w:type="dxa" w:w="4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apex-specialists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apex-credit</w:t>
            </w:r>
            <w:r>
              <w:rPr>
                <w:b w:val="false"/>
                <w:bCs w:val="false"/>
                <w:sz w:val="17"/>
                <w:szCs w:val="17"/>
              </w:rPr>
              <w:t xml:space="preserve">, new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apex-underwriters</w:t>
            </w:r>
          </w:p>
        </w:tc>
      </w:tr>
      <w:tr>
        <w:trPr>
          <w:cantSplit/>
        </w:trPr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Okta attribute and claim</w:t>
            </w:r>
          </w:p>
        </w:tc>
        <w:tc>
          <w:tcPr>
            <w:tcW w:type="dxa" w:w="3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advisorId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advisor_id</w:t>
            </w:r>
          </w:p>
        </w:tc>
        <w:tc>
          <w:tcPr>
            <w:tcW w:type="dxa" w:w="4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originatorId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originator_id</w:t>
            </w:r>
          </w:p>
        </w:tc>
      </w:tr>
      <w:tr>
        <w:trPr>
          <w:cantSplit/>
        </w:trPr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Scopes</w:t>
            </w:r>
          </w:p>
        </w:tc>
        <w:tc>
          <w:tcPr>
            <w:tcW w:type="dxa" w:w="3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apex.client.read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apex.client.write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apex.client.onboard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apex.compliance.consult</w:t>
            </w:r>
          </w:p>
        </w:tc>
        <w:tc>
          <w:tcPr>
            <w:tcW w:type="dxa" w:w="4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apex.borrower.read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apex.borrower.write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apex.loan.fund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apex.credit.consult</w:t>
            </w:r>
            <w:r>
              <w:rPr>
                <w:b w:val="false"/>
                <w:bCs w:val="false"/>
                <w:sz w:val="17"/>
                <w:szCs w:val="17"/>
              </w:rPr>
              <w:t xml:space="preserve">; new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apex.application.read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apex.condition.propose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apex.qualify.calculate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apex.deal.submit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apex.deal.read</w:t>
            </w:r>
          </w:p>
        </w:tc>
      </w:tr>
      <w:tr>
        <w:trPr>
          <w:cantSplit/>
        </w:trPr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Core system</w:t>
            </w:r>
          </w:p>
        </w:tc>
        <w:tc>
          <w:tcPr>
            <w:tcW w:type="dxa" w:w="3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Core banking, database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corebank</w:t>
            </w:r>
          </w:p>
        </w:tc>
        <w:tc>
          <w:tcPr>
            <w:tcW w:type="dxa" w:w="4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Mortgage servicing system, database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servicing</w:t>
            </w:r>
          </w:p>
        </w:tc>
      </w:tr>
      <w:tr>
        <w:trPr>
          <w:cantSplit/>
        </w:trPr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Core tables</w:t>
            </w:r>
          </w:p>
        </w:tc>
        <w:tc>
          <w:tcPr>
            <w:tcW w:type="dxa" w:w="3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clients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accounts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holdings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transactions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advisor_clients</w:t>
            </w:r>
          </w:p>
        </w:tc>
        <w:tc>
          <w:tcPr>
            <w:tcW w:type="dxa" w:w="4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borrowers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loans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loan_parties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payments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originator_borrowers</w:t>
            </w:r>
          </w:p>
        </w:tc>
      </w:tr>
      <w:tr>
        <w:trPr>
          <w:cantSplit/>
        </w:trPr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Salesforce objects</w:t>
            </w:r>
          </w:p>
        </w:tc>
        <w:tc>
          <w:tcPr>
            <w:tcW w:type="dxa" w:w="3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Financial_Account__c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Holding__c</w:t>
            </w:r>
          </w:p>
        </w:tc>
        <w:tc>
          <w:tcPr>
            <w:tcW w:type="dxa" w:w="4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Loan__c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Loan_Party__c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; new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Property__c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Applicant_Income__c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Liability__c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Condition__c</w:t>
            </w:r>
          </w:p>
        </w:tc>
      </w:tr>
      <w:tr>
        <w:trPr>
          <w:cantSplit/>
        </w:trPr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Salesforce fields</w:t>
            </w:r>
          </w:p>
        </w:tc>
        <w:tc>
          <w:tcPr>
            <w:tcW w:type="dxa" w:w="3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Core_Client_Id__c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Core_Account_Id__c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Tax_Id__c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AUM__c</w:t>
            </w:r>
          </w:p>
        </w:tc>
        <w:tc>
          <w:tcPr>
            <w:tcW w:type="dxa" w:w="4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Core_Borrower_Id__c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Core_Loan_Id__c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SIN__c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Principal_Balance__c</w:t>
            </w:r>
          </w:p>
        </w:tc>
      </w:tr>
      <w:tr>
        <w:trPr>
          <w:cantSplit/>
        </w:trPr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Events</w:t>
            </w:r>
          </w:p>
        </w:tc>
        <w:tc>
          <w:tcPr>
            <w:tcW w:type="dxa" w:w="3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Client_Address_Changed__e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Review_Due__e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ClientAddressChanged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client.onboarded</w:t>
            </w:r>
          </w:p>
        </w:tc>
        <w:tc>
          <w:tcPr>
            <w:tcW w:type="dxa" w:w="4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Borrower_Address_Changed__e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Renewal_Due__e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BorrowerAddressChanged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loan.boarded</w:t>
            </w:r>
          </w:p>
        </w:tc>
      </w:tr>
      <w:tr>
        <w:trPr>
          <w:cantSplit/>
        </w:trPr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Approval action types</w:t>
            </w:r>
          </w:p>
        </w:tc>
        <w:tc>
          <w:tcPr>
            <w:tcW w:type="dxa" w:w="3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ADDRESS_CHANGE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OPEN_ACCOUNT</w:t>
            </w:r>
          </w:p>
        </w:tc>
        <w:tc>
          <w:tcPr>
            <w:tcW w:type="dxa" w:w="4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ADDRESS_CHANGE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CONDITION_WAIVER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RATE_EXCEPTION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FUND_LOAN</w:t>
            </w:r>
          </w:p>
        </w:tc>
      </w:tr>
      <w:tr>
        <w:trPr>
          <w:cantSplit/>
        </w:trPr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APIs</w:t>
            </w:r>
          </w:p>
        </w:tc>
        <w:tc>
          <w:tcPr>
            <w:tcW w:type="dxa" w:w="3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sys-core-banking-api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prc-client-servicing-api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exp-advisor-api</w:t>
            </w:r>
          </w:p>
        </w:tc>
        <w:tc>
          <w:tcPr>
            <w:tcW w:type="dxa" w:w="4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sys-loan-servicing-api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prc-loan-servicing-api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exp-specialist-api</w:t>
            </w:r>
            <w:r>
              <w:rPr>
                <w:b w:val="false"/>
                <w:bCs w:val="false"/>
                <w:sz w:val="17"/>
                <w:szCs w:val="17"/>
              </w:rPr>
              <w:t xml:space="preserve">; new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exp-broker-api</w:t>
            </w:r>
          </w:p>
        </w:tc>
      </w:tr>
      <w:tr>
        <w:trPr>
          <w:cantSplit/>
        </w:trPr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MCP tools</w:t>
            </w:r>
          </w:p>
        </w:tc>
        <w:tc>
          <w:tcPr>
            <w:tcW w:type="dxa" w:w="3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get_client_summary</w:t>
            </w:r>
            <w:r>
              <w:rPr>
                <w:b w:val="false"/>
                <w:bCs w:val="false"/>
                <w:sz w:val="17"/>
                <w:szCs w:val="17"/>
              </w:rPr>
              <w:t xml:space="preserve"> + 4</w:t>
            </w:r>
          </w:p>
        </w:tc>
        <w:tc>
          <w:tcPr>
            <w:tcW w:type="dxa" w:w="4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get_borrower_summary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get_application_summary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list_outstanding_conditions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calculate_qualification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list_open_cases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search_policies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create_service_case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propose_address_change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propose_condition_waiver</w:t>
            </w:r>
          </w:p>
        </w:tc>
      </w:tr>
      <w:tr>
        <w:trPr>
          <w:cantSplit/>
        </w:trPr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Agents</w:t>
            </w:r>
          </w:p>
        </w:tc>
        <w:tc>
          <w:tcPr>
            <w:tcW w:type="dxa" w:w="3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Apex Advisor Assistant, Apex Client Assistant, Policy &amp; Suitability agent</w:t>
            </w:r>
          </w:p>
        </w:tc>
        <w:tc>
          <w:tcPr>
            <w:tcW w:type="dxa" w:w="4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Apex Mortgage Assistant, Apex Borrower Assistant, Credit Policy agent</w:t>
            </w:r>
          </w:p>
        </w:tc>
      </w:tr>
      <w:tr>
        <w:trPr>
          <w:cantSplit/>
        </w:trPr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Cross-system saga</w:t>
            </w:r>
          </w:p>
        </w:tc>
        <w:tc>
          <w:tcPr>
            <w:tcW w:type="dxa" w:w="3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Client onboarding (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OPEN_ACCOUNT</w:t>
            </w:r>
            <w:r>
              <w:rPr>
                <w:b w:val="false"/>
                <w:bCs w:val="false"/>
                <w:sz w:val="17"/>
                <w:szCs w:val="17"/>
              </w:rPr>
              <w:t xml:space="preserve">)</w:t>
            </w:r>
          </w:p>
        </w:tc>
        <w:tc>
          <w:tcPr>
            <w:tcW w:type="dxa" w:w="4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Loan funding (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FUND_LOAN</w:t>
            </w:r>
            <w:r>
              <w:rPr>
                <w:b w:val="false"/>
                <w:bCs w:val="false"/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B2B lane</w:t>
            </w:r>
          </w:p>
        </w:tc>
        <w:tc>
          <w:tcPr>
            <w:tcW w:type="dxa" w:w="3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Apex Institutional (group retirement plans, employer files)</w:t>
            </w:r>
          </w:p>
        </w:tc>
        <w:tc>
          <w:tcPr>
            <w:tcW w:type="dxa" w:w="4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Broker channel (brokerages, BDM territories, deal intake API); PAD returns file</w:t>
            </w:r>
          </w:p>
        </w:tc>
      </w:tr>
      <w:tr>
        <w:trPr>
          <w:cantSplit/>
        </w:trPr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 360</w:t>
            </w:r>
          </w:p>
        </w:tc>
        <w:tc>
          <w:tcPr>
            <w:tcW w:type="dxa" w:w="3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Unified client profile, AUM insights, review-due alerts</w:t>
            </w:r>
          </w:p>
        </w:tc>
        <w:tc>
          <w:tcPr>
            <w:tcW w:type="dxa" w:w="4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Unified borrower profile, balance and arrears insights, renewal-due alerts</w:t>
            </w:r>
          </w:p>
        </w:tc>
      </w:tr>
      <w:tr>
        <w:trPr>
          <w:cantSplit/>
        </w:trPr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Big and external objects</w:t>
            </w:r>
          </w:p>
        </w:tc>
        <w:tc>
          <w:tcPr>
            <w:tcW w:type="dxa" w:w="3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Holding_Snapshot__b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ArchivedTransaction__x</w:t>
            </w:r>
          </w:p>
        </w:tc>
        <w:tc>
          <w:tcPr>
            <w:tcW w:type="dxa" w:w="4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Loan_Balance_Snapshot__b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ArchivedPayment__x</w:t>
            </w:r>
          </w:p>
        </w:tc>
      </w:tr>
      <w:tr>
        <w:trPr>
          <w:cantSplit/>
        </w:trPr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ML model</w:t>
            </w:r>
          </w:p>
        </w:tc>
        <w:tc>
          <w:tcPr>
            <w:tcW w:type="dxa" w:w="3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Flight-risk (asset outflow)</w:t>
            </w:r>
          </w:p>
        </w:tc>
        <w:tc>
          <w:tcPr>
            <w:tcW w:type="dxa" w:w="4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Renewal-attrition</w:t>
            </w:r>
          </w:p>
        </w:tc>
      </w:tr>
      <w:tr>
        <w:trPr>
          <w:cantSplit/>
        </w:trPr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Cognito</w:t>
            </w:r>
          </w:p>
        </w:tc>
        <w:tc>
          <w:tcPr>
            <w:tcW w:type="dxa" w:w="3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apex-clients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custom:client_number</w:t>
            </w:r>
          </w:p>
        </w:tc>
        <w:tc>
          <w:tcPr>
            <w:tcW w:type="dxa" w:w="4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apex-borrowers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custom:borrower_number</w:t>
            </w:r>
          </w:p>
        </w:tc>
      </w:tr>
      <w:tr>
        <w:trPr>
          <w:cantSplit/>
        </w:trPr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Portal</w:t>
            </w:r>
          </w:p>
        </w:tc>
        <w:tc>
          <w:tcPr>
            <w:tcW w:type="dxa" w:w="3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Apex Client Portal</w:t>
            </w:r>
          </w:p>
        </w:tc>
        <w:tc>
          <w:tcPr>
            <w:tcW w:type="dxa" w:w="4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Apex Borrower Portal; Partner Central for brokers</w:t>
            </w:r>
          </w:p>
        </w:tc>
      </w:tr>
      <w:tr>
        <w:trPr>
          <w:cantSplit/>
        </w:trPr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Files renamed</w:t>
            </w:r>
          </w:p>
        </w:tc>
        <w:tc>
          <w:tcPr>
            <w:tcW w:type="dxa" w:w="3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04-…-unified-client-profile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07-…-agentic-advisor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13-…-lifecycle-b2b</w:t>
            </w:r>
          </w:p>
        </w:tc>
        <w:tc>
          <w:tcPr>
            <w:tcW w:type="dxa" w:w="4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04-data-360-unified-borrower-profile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07-capstone-multicloud-agentic-mortgage-assistant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13-integrated-platform-mortgage-lifecycle-broker-channel</w:t>
            </w:r>
          </w:p>
        </w:tc>
      </w:tr>
      <w:tr>
        <w:trPr>
          <w:cantSplit/>
        </w:trPr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Diagrams renamed</w:t>
            </w:r>
          </w:p>
        </w:tc>
        <w:tc>
          <w:tcPr>
            <w:tcW w:type="dxa" w:w="3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16-client-lifecycle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seq-20-client-onboarding-saga</w:t>
            </w:r>
          </w:p>
        </w:tc>
        <w:tc>
          <w:tcPr>
            <w:tcW w:type="dxa" w:w="4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16-mortgage-lifecycle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seq-20-funding-saga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Unchanged on purpose: the three Okta authorization servers (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apex-agent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apex-mule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apex-aws</w:t>
      </w:r>
      <w:r>
        <w:t xml:space="preserve">), the 15-hop trust chain, the AWS landing zone,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Approval_Request__c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Approved_Action__e</w:t>
      </w:r>
      <w:r>
        <w:t xml:space="preserve">, and ADR numbers 001–050 (each keeps its topic; the content now refers to mortgages). ADR-051 (broker deal intake) and ADR-052 (multi-agent orchestration for the borrower channel) are new.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bookmarkStart w:name="s10" w:id="10"/>
      <w:r>
        <w:t xml:space="preserve">10. Sources</w:t>
      </w:r>
      <w:bookmarkEnd w:id="10"/>
    </w:p>
    <w:p>
      <w:pPr>
        <w:pStyle w:val="ListParagraph"/>
        <w:numPr>
          <w:ilvl w:val="0"/>
          <w:numId w:val="3"/>
        </w:numPr>
        <w:spacing w:after="60"/>
      </w:pPr>
      <w:r>
        <w:t xml:space="preserve">OSFI, </w:t>
      </w:r>
      <w:r>
        <w:rPr>
          <w:i/>
          <w:iCs/>
        </w:rPr>
        <w:t xml:space="preserve">Minimum qualifying rate for uninsured mortgages</w:t>
      </w:r>
      <w:r>
        <w:t xml:space="preserve">; </w:t>
      </w:r>
      <w:r>
        <w:rPr>
          <w:i/>
          <w:iCs/>
        </w:rPr>
        <w:t xml:space="preserve">Loan-to-income limits for uninsured mortgage portfolios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Canadian Mortgage Trends, </w:t>
      </w:r>
      <w:r>
        <w:rPr>
          <w:i/>
          <w:iCs/>
        </w:rPr>
        <w:t xml:space="preserve">OSFI leaves mortgage stress test in place, reaffirms LTI limits</w:t>
      </w:r>
      <w:r>
        <w:t xml:space="preserve"> (January 2026)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Department of Finance Canada, </w:t>
      </w:r>
      <w:r>
        <w:rPr>
          <w:i/>
          <w:iCs/>
        </w:rPr>
        <w:t xml:space="preserve">Boldest mortgage reforms in decades come into force today</w:t>
      </w:r>
      <w:r>
        <w:t xml:space="preserve"> (December 2024) and the September 2024 announcements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CMHC, </w:t>
      </w:r>
      <w:r>
        <w:rPr>
          <w:i/>
          <w:iCs/>
        </w:rPr>
        <w:t xml:space="preserve">CMHC reviews underwriting criteria</w:t>
      </w:r>
      <w:r>
        <w:t xml:space="preserve"> (July 5, 2021)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Ratehub, </w:t>
      </w:r>
      <w:r>
        <w:rPr>
          <w:i/>
          <w:iCs/>
        </w:rPr>
        <w:t xml:space="preserve">Fall Economic Statement: stress test dropped for insurable mortgage switches</w:t>
      </w:r>
      <w:r>
        <w:t xml:space="preserve">; OSFI's November 21, 2024 straight-switch change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FCAC, </w:t>
      </w:r>
      <w:r>
        <w:rPr>
          <w:i/>
          <w:iCs/>
        </w:rPr>
        <w:t xml:space="preserve">Renewing your mortgage</w:t>
      </w:r>
      <w:r>
        <w:t xml:space="preserve">; </w:t>
      </w:r>
      <w:r>
        <w:rPr>
          <w:i/>
          <w:iCs/>
        </w:rPr>
        <w:t xml:space="preserve">Guideline on Existing Consumer Mortgage Loans in Exceptional Circumstances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Goodmans, </w:t>
      </w:r>
      <w:r>
        <w:rPr>
          <w:i/>
          <w:iCs/>
        </w:rPr>
        <w:t xml:space="preserve">FINTRAC to implement new mortgage sector obligations</w:t>
      </w:r>
      <w:r>
        <w:t xml:space="preserve">; BLG, </w:t>
      </w:r>
      <w:r>
        <w:rPr>
          <w:i/>
          <w:iCs/>
        </w:rPr>
        <w:t xml:space="preserve">FINTRAC rules for the mortgage industry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BCFSA, </w:t>
      </w:r>
      <w:r>
        <w:rPr>
          <w:i/>
          <w:iCs/>
        </w:rPr>
        <w:t xml:space="preserve">Mortgage Services Act</w:t>
      </w:r>
      <w:r>
        <w:t xml:space="preserve"> transition pages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Salesforce, </w:t>
      </w:r>
      <w:r>
        <w:rPr>
          <w:i/>
          <w:iCs/>
        </w:rPr>
        <w:t xml:space="preserve">Mortgage data model</w:t>
      </w:r>
      <w:r>
        <w:t xml:space="preserve"> (Financial Services Cloud)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CMHC, </w:t>
      </w:r>
      <w:r>
        <w:rPr>
          <w:i/>
          <w:iCs/>
        </w:rPr>
        <w:t xml:space="preserve">Premium information for homeowner and small rental loans</w:t>
      </w:r>
      <w:r>
        <w:t xml:space="preserve">; OACIQ, </w:t>
      </w:r>
      <w:r>
        <w:rPr>
          <w:i/>
          <w:iCs/>
        </w:rPr>
        <w:t xml:space="preserve">Gross debt service (GDS)</w:t>
      </w:r>
      <w:r>
        <w:t xml:space="preserve"> (the premium is added to the loan and the GDS includes it); Sagen, </w:t>
      </w:r>
      <w:r>
        <w:rPr>
          <w:i/>
          <w:iCs/>
        </w:rPr>
        <w:t xml:space="preserve">Lender update: mortgage insurance rule changes</w:t>
      </w:r>
      <w:r>
        <w:t xml:space="preserve"> (30-year amortization from December 15, 2024, with a 20-basis-point premium surcharge)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i/>
          <w:iCs/>
        </w:rPr>
        <w:t xml:space="preserve">Interest Act</w:t>
      </w:r>
      <w:r>
        <w:t xml:space="preserve"> (R.S.C. 1985, c. I-15), s. 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color w:val="595959"/>
        <w:sz w:val="16"/>
        <w:szCs w:val="16"/>
      </w:rPr>
      <w:t xml:space="preserve">Apex Home Lending</w:t>
    </w:r>
    <w:r>
      <w:rPr>
        <w:color w:val="595959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Apex Home Lending · Agentic Architecture Programme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</w:lvl>
    <w:lvl w:ilvl="1" w15:tentative="1">
      <w:start w:val="1"/>
      <w:numFmt w:val="bullet"/>
      <w:lvlText w:val="◦"/>
      <w:lvlJc w:val="left"/>
      <w:pPr>
        <w:ind w:left="1440" w:hanging="300"/>
      </w:pPr>
    </w:lvl>
    <w:lvl w:ilvl="2" w15:tentative="1">
      <w:start w:val="1"/>
      <w:numFmt w:val="bullet"/>
      <w:lvlText w:val="▪"/>
      <w:lvlJc w:val="left"/>
      <w:pPr>
        <w:ind w:left="2160" w:hanging="300"/>
      </w:pPr>
    </w:lvl>
    <w:lvl w:ilvl="3" w15:tentative="1">
      <w:start w:val="1"/>
      <w:numFmt w:val="bullet"/>
      <w:lvlText w:val="–"/>
      <w:lvlJc w:val="left"/>
      <w:pPr>
        <w:ind w:left="28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Title">
    <w:name w:val="Document Title"/>
    <w:basedOn w:val="Normal"/>
    <w:next w:val="Normal"/>
    <w:pPr>
      <w:spacing w:after="240" w:line="252" w:lineRule="auto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8EA9DB" w:sz="6" w:space="2"/>
      </w:pBdr>
      <w:spacing w:after="12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Calibri" w:cs="Calibri" w:eastAsia="Calibri" w:hAnsi="Calibri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20"/>
      <w:outlineLvl w:val="2"/>
    </w:pPr>
    <w:rPr>
      <w:rFonts w:ascii="Calibri" w:cs="Calibri" w:eastAsia="Calibri" w:hAnsi="Calibri"/>
      <w:b/>
      <w:bCs/>
      <w:color w:val="2F5496"/>
      <w:sz w:val="22"/>
      <w:szCs w:val="22"/>
    </w:rPr>
  </w:style>
  <w:style w:type="paragraph" w:styleId="Heading4">
    <w:name w:val="Heading 4"/>
    <w:basedOn w:val="Normal"/>
    <w:next w:val="Normal"/>
    <w:qFormat/>
    <w:pPr>
      <w:keepNext/>
      <w:spacing w:after="60" w:before="180"/>
      <w:outlineLvl w:val="3"/>
    </w:pPr>
    <w:rPr>
      <w:rFonts w:ascii="Calibri" w:cs="Calibri" w:eastAsia="Calibri" w:hAnsi="Calibri"/>
      <w:b/>
      <w:bCs/>
      <w:i/>
      <w:iCs/>
      <w:color w:val="2F5496"/>
      <w:sz w:val="21"/>
      <w:szCs w:val="21"/>
    </w:rPr>
  </w:style>
  <w:style w:type="paragraph" w:styleId="Code">
    <w:name w:val="Code"/>
    <w:basedOn w:val="Normal"/>
    <w:pPr>
      <w:spacing w:line="240" w:lineRule="auto"/>
    </w:pPr>
    <w:rPr>
      <w:rFonts w:ascii="Consolas" w:cs="Consolas" w:eastAsia="Consolas" w:hAnsi="Consolas"/>
      <w:sz w:val="16"/>
      <w:szCs w:val="16"/>
    </w:rPr>
  </w:style>
  <w:style w:type="paragraph" w:styleId="CodeLabel">
    <w:name w:val="Code Label"/>
    <w:basedOn w:val="Normal"/>
    <w:pPr>
      <w:keepNext/>
      <w:spacing w:after="0" w:before="120"/>
    </w:pPr>
    <w:rPr>
      <w:rFonts w:ascii="Calibri" w:cs="Calibri" w:eastAsia="Calibri" w:hAnsi="Calibri"/>
      <w:caps/>
      <w:color w:val="7F7F7F"/>
      <w:sz w:val="14"/>
      <w:szCs w:val="14"/>
    </w:rPr>
  </w:style>
  <w:style w:type="paragraph" w:styleId="ContentsHeading">
    <w:name w:val="Contents Heading"/>
    <w:basedOn w:val="Normal"/>
    <w:pPr>
      <w:spacing w:after="80" w:before="240"/>
    </w:pPr>
    <w:rPr>
      <w:rFonts w:ascii="Calibri" w:cs="Calibri" w:eastAsia="Calibri" w:hAnsi="Calibri"/>
      <w:b/>
      <w:bCs/>
      <w:color w:val="1F3864"/>
      <w:sz w:val="24"/>
      <w:szCs w:val="24"/>
    </w:rPr>
  </w:style>
  <w:style w:type="paragraph" w:styleId="ContentsItem">
    <w:name w:val="Contents Item"/>
    <w:basedOn w:val="Normal"/>
    <w:pPr>
      <w:spacing w:after="20"/>
      <w:ind w:left="240"/>
    </w:pPr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d3707ac4bf21ab45a162c4cca9ca608908bb0b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Apex Home Lending — Mortgage Domain Primer &amp; Term Map</dc:title>
  <dc:creator>Apex Home Lending programme</dc:creator>
  <dc:description>Generated from 00a-mortgage-domain-primer.md</dc:description>
  <cp:lastModifiedBy>Un-named</cp:lastModifiedBy>
  <cp:revision>1</cp:revision>
  <dcterms:created xsi:type="dcterms:W3CDTF">2026-10-20T04:21:40.792Z</dcterms:created>
  <dcterms:modified xsi:type="dcterms:W3CDTF">2026-10-20T04:21:40.792Z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