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08 — Salesforce Platform Administrator Mastery (built inside the Apex org)</w:t>
      </w:r>
    </w:p>
    <w:p>
      <w:pPr>
        <w:spacing w:after="120"/>
      </w:pPr>
      <w:r>
        <w:rPr>
          <w:b/>
          <w:bCs/>
        </w:rPr>
        <w:t xml:space="preserve">Goal:</w:t>
      </w:r>
      <w:r>
        <w:t xml:space="preserve"> Cover every section of the Salesforce Certified Platform Administrator exam by </w:t>
      </w:r>
      <w:r>
        <w:rPr>
          <w:i/>
          <w:iCs/>
        </w:rPr>
        <w:t xml:space="preserve">operating</w:t>
      </w:r>
      <w:r>
        <w:t xml:space="preserve"> the Apex Home Lending org as its administrator, so you finish with the certification </w:t>
      </w:r>
      <w:r>
        <w:rPr>
          <w:b/>
          <w:bCs/>
        </w:rPr>
        <w:t xml:space="preserve">and</w:t>
      </w:r>
      <w:r>
        <w:t xml:space="preserve"> a lender's org you can demo: pipeline from lead to funded deal, servicing with entitlements, regulatory automation, analytics and an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93"/>
        <w:gridCol w:w="8787"/>
      </w:tblGrid>
      <w:tr>
        <w:trPr>
          <w:cantSplit/>
        </w:trPr>
        <w:tc>
          <w:tcPr>
            <w:tcW w:type="dxa" w:w="1293"/>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weeks at 8–10 h/week (runs with Project 03 in Phase 2; sit the exam around week 12)</w:t>
            </w:r>
          </w:p>
        </w:tc>
      </w:tr>
      <w:tr>
        <w:trPr>
          <w:cantSplit/>
        </w:trPr>
        <w:tc>
          <w:tcPr>
            <w:tcW w:type="dxa" w:w="1293"/>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Org</w:t>
            </w:r>
          </w:p>
        </w:tc>
        <w:tc>
          <w:tcPr>
            <w:tcW w:type="dxa" w:w="8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Same Developer Edition org as Projects 03/04/07, plus a </w:t>
            </w:r>
            <w:r>
              <w:rPr>
                <w:b/>
                <w:bCs/>
                <w:sz w:val="17"/>
                <w:szCs w:val="17"/>
              </w:rPr>
              <w:t xml:space="preserve">scratch org</w:t>
            </w:r>
            <w:r>
              <w:rPr>
                <w:b w:val="false"/>
                <w:bCs w:val="false"/>
                <w:sz w:val="17"/>
                <w:szCs w:val="17"/>
              </w:rPr>
              <w:t xml:space="preserve"> for irreversible settings</w:t>
            </w:r>
          </w:p>
        </w:tc>
      </w:tr>
      <w:tr>
        <w:trPr>
          <w:cantSplit/>
        </w:trPr>
        <w:tc>
          <w:tcPr>
            <w:tcW w:type="dxa" w:w="1293"/>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fully configured Apex org (sales, servicing, analytics, automation, Agentforce), lab evidence per exam objective, a personal error log, and exam readiness</w:t>
            </w:r>
          </w:p>
        </w:tc>
      </w:tr>
      <w:tr>
        <w:trPr>
          <w:cantSplit/>
        </w:trPr>
        <w:tc>
          <w:tcPr>
            <w:tcW w:type="dxa" w:w="1293"/>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Exam</w:t>
            </w:r>
          </w:p>
        </w:tc>
        <w:tc>
          <w:tcPr>
            <w:tcW w:type="dxa" w:w="8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Platform Administrator, refreshed </w:t>
            </w:r>
            <w:r>
              <w:rPr>
                <w:b/>
                <w:bCs/>
                <w:sz w:val="17"/>
                <w:szCs w:val="17"/>
              </w:rPr>
              <w:t xml:space="preserve">December 15, 2025</w:t>
            </w:r>
          </w:p>
        </w:tc>
      </w:tr>
    </w:tbl>
    <w:p>
      <w:pPr>
        <w:spacing w:after="120"/>
      </w:pPr>
    </w:p>
    <w:p>
      <w:pPr>
        <w:pBdr>
          <w:left w:val="single" w:color="8EA9DB" w:sz="18" w:space="8"/>
        </w:pBdr>
        <w:shd w:fill="F5F8FC" w:color="auto" w:val="clear"/>
        <w:spacing w:after="120" w:before="60"/>
        <w:ind w:left="240"/>
      </w:pPr>
      <w:r>
        <w:t xml:space="preserve">⚠ Exam details change. Before booking, re-read the official exam guide on Trailhead (sections, weightings, question count, passing score, retake policy) and compare it with the coverage map below.</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Exam blueprint and where each section is covered</w:t>
        </w:r>
      </w:hyperlink>
    </w:p>
    <w:p>
      <w:pPr>
        <w:pStyle w:val="ContentsItem"/>
      </w:pPr>
      <w:hyperlink w:history="1" w:anchor="s2">
        <w:r>
          <w:rPr>
            <w:color w:val="0563C1"/>
          </w:rPr>
          <w:t xml:space="preserve">2. Environment preparation</w:t>
        </w:r>
      </w:hyperlink>
    </w:p>
    <w:p>
      <w:pPr>
        <w:pStyle w:val="ContentsItem"/>
      </w:pPr>
      <w:hyperlink w:history="1" w:anchor="s3">
        <w:r>
          <w:rPr>
            <w:color w:val="0563C1"/>
          </w:rPr>
          <w:t xml:space="preserve">3. Configuration and Setup (15%)</w:t>
        </w:r>
      </w:hyperlink>
    </w:p>
    <w:p>
      <w:pPr>
        <w:pStyle w:val="ContentsItem"/>
      </w:pPr>
      <w:hyperlink w:history="1" w:anchor="s4">
        <w:r>
          <w:rPr>
            <w:color w:val="0563C1"/>
          </w:rPr>
          <w:t xml:space="preserve">4. Object Manager and Lightning App Builder (15%)</w:t>
        </w:r>
      </w:hyperlink>
    </w:p>
    <w:p>
      <w:pPr>
        <w:pStyle w:val="ContentsItem"/>
      </w:pPr>
      <w:hyperlink w:history="1" w:anchor="s5">
        <w:r>
          <w:rPr>
            <w:color w:val="0563C1"/>
          </w:rPr>
          <w:t xml:space="preserve">5. Sales and Marketing Applications (10%)</w:t>
        </w:r>
      </w:hyperlink>
    </w:p>
    <w:p>
      <w:pPr>
        <w:pStyle w:val="ContentsItem"/>
      </w:pPr>
      <w:hyperlink w:history="1" w:anchor="s6">
        <w:r>
          <w:rPr>
            <w:color w:val="0563C1"/>
          </w:rPr>
          <w:t xml:space="preserve">6. Service and Support Applications (10%)</w:t>
        </w:r>
      </w:hyperlink>
    </w:p>
    <w:p>
      <w:pPr>
        <w:pStyle w:val="ContentsItem"/>
      </w:pPr>
      <w:hyperlink w:history="1" w:anchor="s7">
        <w:r>
          <w:rPr>
            <w:color w:val="0563C1"/>
          </w:rPr>
          <w:t xml:space="preserve">7. Productivity and Collaboration (10%)</w:t>
        </w:r>
      </w:hyperlink>
    </w:p>
    <w:p>
      <w:pPr>
        <w:pStyle w:val="ContentsItem"/>
      </w:pPr>
      <w:hyperlink w:history="1" w:anchor="s8">
        <w:r>
          <w:rPr>
            <w:color w:val="0563C1"/>
          </w:rPr>
          <w:t xml:space="preserve">8. Data and Analytics Management (17%)</w:t>
        </w:r>
      </w:hyperlink>
    </w:p>
    <w:p>
      <w:pPr>
        <w:pStyle w:val="ContentsItem"/>
      </w:pPr>
      <w:hyperlink w:history="1" w:anchor="s9">
        <w:r>
          <w:rPr>
            <w:color w:val="0563C1"/>
          </w:rPr>
          <w:t xml:space="preserve">9. Automation (15%)</w:t>
        </w:r>
      </w:hyperlink>
    </w:p>
    <w:p>
      <w:pPr>
        <w:pStyle w:val="ContentsItem"/>
      </w:pPr>
      <w:hyperlink w:history="1" w:anchor="s10">
        <w:r>
          <w:rPr>
            <w:color w:val="0563C1"/>
          </w:rPr>
          <w:t xml:space="preserve">10. Agentforce (8%)</w:t>
        </w:r>
      </w:hyperlink>
    </w:p>
    <w:p>
      <w:pPr>
        <w:pStyle w:val="ContentsItem"/>
      </w:pPr>
      <w:hyperlink w:history="1" w:anchor="s11">
        <w:r>
          <w:rPr>
            <w:color w:val="0563C1"/>
          </w:rPr>
          <w:t xml:space="preserve">11. Salesforce Well-Architected tie-in</w:t>
        </w:r>
      </w:hyperlink>
    </w:p>
    <w:p>
      <w:pPr>
        <w:pStyle w:val="ContentsItem"/>
      </w:pPr>
      <w:hyperlink w:history="1" w:anchor="s12">
        <w:r>
          <w:rPr>
            <w:color w:val="0563C1"/>
          </w:rPr>
          <w:t xml:space="preserve">12. Exam readiness</w:t>
        </w:r>
      </w:hyperlink>
    </w:p>
    <w:p>
      <w:pPr>
        <w:pBdr>
          <w:bottom w:val="single" w:color="BFBFBF" w:sz="6" w:space="4"/>
        </w:pBdr>
      </w:pPr>
    </w:p>
    <w:p>
      <w:pPr>
        <w:pStyle w:val="Heading1"/>
      </w:pPr>
      <w:bookmarkStart w:name="s1" w:id="1"/>
      <w:r>
        <w:t xml:space="preserve">1. Exam blueprint and where each section is covered</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62"/>
        <w:gridCol w:w="1101"/>
        <w:gridCol w:w="3431"/>
        <w:gridCol w:w="1786"/>
      </w:tblGrid>
      <w:tr>
        <w:trPr>
          <w:cantSplit/>
          <w:tblHeader/>
        </w:trPr>
        <w:tc>
          <w:tcPr>
            <w:tcW w:type="dxa" w:w="37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10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34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c>
          <w:tcPr>
            <w:tcW w:type="dxa" w:w="17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This module's labs</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and Analytics Management</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(data model)</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A1–A6</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Configuration and Setup</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(users, security, SSO)</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C1–C6</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Object Manager and Lightning App Builder</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(objects, fields, deal rules)</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O1–O7</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Automation</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03/04/07 (flows, approvals)</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F1–F7</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 and Marketing Applications</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S1–S5</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and Support Applications</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(Case record types)</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V1–V6</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Productivity and Collaboration</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P1–P5</w:t>
            </w:r>
          </w:p>
        </w:tc>
      </w:tr>
      <w:tr>
        <w:trPr>
          <w:cantSplit/>
        </w:trPr>
        <w:tc>
          <w:tcPr>
            <w:tcW w:type="dxa" w:w="3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w:t>
            </w:r>
          </w:p>
        </w:tc>
        <w:tc>
          <w:tcPr>
            <w:tcW w:type="dxa" w:w="11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34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 (employee agent)</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G1–G4</w:t>
            </w:r>
          </w:p>
        </w:tc>
      </w:tr>
    </w:tbl>
    <w:p>
      <w:pPr>
        <w:spacing w:after="120"/>
      </w:pPr>
    </w:p>
    <w:p>
      <w:pPr>
        <w:spacing w:after="120"/>
      </w:pPr>
      <w:r>
        <w:t xml:space="preserve">What changed in the December 2025 refresh: Configuration and Setup and Object Manager each dropped from 20% to 15%, Data and Analytics Management rose from 14% to 17%, Productivity and Collaboration rose from 7% to 10%, the automation section was renamed, and the Agentforce section (8%) is new. The Agentforce objectives cover when AI is appropriate, security and agent permission troubleshooting, maintaining prompts and instructions in Agent Builder, and light testing with conversation preview — labs G1–G4.</w:t>
      </w:r>
    </w:p>
    <w:p>
      <w:pPr>
        <w:spacing w:after="120"/>
      </w:pPr>
      <w:r>
        <w:rPr>
          <w:b/>
          <w:bCs/>
        </w:rPr>
        <w:t xml:space="preserve">How to use this file:</w:t>
      </w:r>
      <w:r>
        <w:t xml:space="preserve"> for each lab, (1) read the linked Trailhead module, (2) build it in the Apex org following the steps, (3) prove it with the acceptance check, (4) answer the "exam angle" questions from memory. Log every wrong practice-question answer in </w:t>
      </w:r>
      <w:r>
        <w:rPr>
          <w:rFonts w:ascii="Consolas" w:cs="Consolas" w:eastAsia="Consolas" w:hAnsi="Consolas"/>
          <w:sz w:val="19"/>
          <w:szCs w:val="19"/>
          <w:shd w:fill="EEF0F3" w:color="auto" w:val="clear"/>
        </w:rPr>
        <w:t xml:space="preserve">08-admin/error-log.md</w:t>
      </w:r>
      <w:r>
        <w:t xml:space="preserve"> with the </w:t>
      </w:r>
      <w:r>
        <w:rPr>
          <w:i/>
          <w:iCs/>
        </w:rPr>
        <w:t xml:space="preserve">rule</w:t>
      </w:r>
      <w:r>
        <w:t xml:space="preserve"> you misunderstood.</w:t>
      </w:r>
    </w:p>
    <w:p>
      <w:pPr>
        <w:pBdr>
          <w:bottom w:val="single" w:color="BFBFBF" w:sz="6" w:space="1"/>
        </w:pBdr>
        <w:spacing w:after="120" w:before="120"/>
      </w:pPr>
    </w:p>
    <w:p>
      <w:pPr>
        <w:pStyle w:val="Heading1"/>
      </w:pPr>
      <w:bookmarkStart w:name="s2" w:id="2"/>
      <w:r>
        <w:t xml:space="preserve">2. Environment preparation</w:t>
      </w:r>
      <w:bookmarkEnd w:id="2"/>
    </w:p>
    <w:p>
      <w:pPr>
        <w:pStyle w:val="ListParagraph"/>
        <w:numPr>
          <w:ilvl w:val="0"/>
          <w:numId w:val="2"/>
        </w:numPr>
        <w:spacing w:after="60"/>
      </w:pPr>
      <w:r>
        <w:rPr>
          <w:b/>
          <w:bCs/>
        </w:rPr>
        <w:t xml:space="preserve">Keep the Apex Developer Edition org</w:t>
      </w:r>
      <w:r>
        <w:t xml:space="preserve"> for everything reversible.</w:t>
      </w:r>
    </w:p>
    <w:p>
      <w:pPr>
        <w:pStyle w:val="ListParagraph"/>
        <w:numPr>
          <w:ilvl w:val="0"/>
          <w:numId w:val="2"/>
        </w:numPr>
        <w:spacing w:after="60"/>
      </w:pPr>
      <w:r>
        <w:rPr>
          <w:b/>
          <w:bCs/>
        </w:rPr>
        <w:t xml:space="preserve">Enable Dev Hub</w:t>
      </w:r>
      <w:r>
        <w:t xml:space="preserve"> in that org (Setup → Dev Hub → Enable) and create a </w:t>
      </w:r>
      <w:r>
        <w:rPr>
          <w:b/>
          <w:bCs/>
        </w:rPr>
        <w:t xml:space="preserve">scratch org</w:t>
      </w:r>
      <w:r>
        <w:t xml:space="preserve"> for settings you can't undo (multi-currency, person accounts, enabling some features):</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cat &gt; config/admin-lab-scratch.json &lt;&lt;'EOF'</w:t>
      </w:r>
    </w:p>
    <w:p>
      <w:pPr>
        <w:pStyle w:val="Code"/>
        <w:shd w:fill="F3F4F6" w:color="auto" w:val="clear"/>
        <w:spacing w:after="0" w:before="0"/>
        <w:ind w:left="0"/>
      </w:pPr>
      <w:r>
        <w:rPr>
          <w:rFonts w:ascii="Consolas" w:cs="Consolas" w:eastAsia="Consolas" w:hAnsi="Consolas"/>
        </w:rPr>
        <w:t xml:space="preserve">{ "orgName": "Apex Admin Lab", "edition": "Developer",</w:t>
      </w:r>
    </w:p>
    <w:p>
      <w:pPr>
        <w:pStyle w:val="Code"/>
        <w:shd w:fill="F3F4F6" w:color="auto" w:val="clear"/>
        <w:spacing w:after="0" w:before="0"/>
        <w:ind w:left="0"/>
      </w:pPr>
      <w:r>
        <w:rPr>
          <w:rFonts w:ascii="Consolas" w:cs="Consolas" w:eastAsia="Consolas" w:hAnsi="Consolas"/>
        </w:rPr>
        <w:t xml:space="preserve">  "features": ["MultiCurrency", "PersonAccounts", "Entitlements", "Knowledge"],</w:t>
      </w:r>
    </w:p>
    <w:p>
      <w:pPr>
        <w:pStyle w:val="Code"/>
        <w:shd w:fill="F3F4F6" w:color="auto" w:val="clear"/>
        <w:spacing w:after="0" w:before="0"/>
        <w:ind w:left="0"/>
      </w:pPr>
      <w:r>
        <w:rPr>
          <w:rFonts w:ascii="Consolas" w:cs="Consolas" w:eastAsia="Consolas" w:hAnsi="Consolas"/>
        </w:rPr>
        <w:t xml:space="preserve">  "settings": { "lightningExperienceSettings": { "enableS1DesktopEnabled": true } } }</w:t>
      </w:r>
    </w:p>
    <w:p>
      <w:pPr>
        <w:pStyle w:val="Code"/>
        <w:shd w:fill="F3F4F6" w:color="auto" w:val="clear"/>
        <w:spacing w:after="0" w:before="0"/>
        <w:ind w:left="0"/>
      </w:pPr>
      <w:r>
        <w:rPr>
          <w:rFonts w:ascii="Consolas" w:cs="Consolas" w:eastAsia="Consolas" w:hAnsi="Consolas"/>
        </w:rPr>
        <w:t xml:space="preserve">EOF</w:t>
      </w:r>
    </w:p>
    <w:p>
      <w:pPr>
        <w:pStyle w:val="Code"/>
        <w:shd w:fill="F3F4F6" w:color="auto" w:val="clear"/>
        <w:spacing w:after="160" w:before="0"/>
        <w:ind w:left="0"/>
      </w:pPr>
      <w:r>
        <w:rPr>
          <w:rFonts w:ascii="Consolas" w:cs="Consolas" w:eastAsia="Consolas" w:hAnsi="Consolas"/>
        </w:rPr>
        <w:t xml:space="preserve">sf org create scratch --definition-file config/admin-lab-scratch.json --alias apex-admin-lab --duration-days 30 --target-dev-hub apex-dev</w:t>
      </w:r>
    </w:p>
    <w:p>
      <w:pPr>
        <w:spacing w:after="120"/>
      </w:pPr>
      <w:r>
        <w:t xml:space="preserve">⚠ Scratch-org feature names change; </w:t>
      </w:r>
      <w:r>
        <w:rPr>
          <w:rFonts w:ascii="Consolas" w:cs="Consolas" w:eastAsia="Consolas" w:hAnsi="Consolas"/>
          <w:sz w:val="19"/>
          <w:szCs w:val="19"/>
          <w:shd w:fill="EEF0F3" w:color="auto" w:val="clear"/>
        </w:rPr>
        <w:t xml:space="preserve">sf org create scratch --help</w:t>
      </w:r>
      <w:r>
        <w:t xml:space="preserve"> and the Scratch Org Features list are authoritative.</w:t>
      </w:r>
    </w:p>
    <w:p>
      <w:pPr>
        <w:pStyle w:val="ListParagraph"/>
        <w:numPr>
          <w:ilvl w:val="0"/>
          <w:numId w:val="3"/>
        </w:numPr>
        <w:spacing w:after="60"/>
      </w:pPr>
      <w:r>
        <w:t xml:space="preserve">Install </w:t>
      </w:r>
      <w:r>
        <w:rPr>
          <w:b/>
          <w:bCs/>
        </w:rPr>
        <w:t xml:space="preserve">Data Loader</w:t>
      </w:r>
      <w:r>
        <w:t xml:space="preserve"> (Setup → Data Loader → download for your OS; requires Java 17+).</w:t>
      </w:r>
    </w:p>
    <w:p>
      <w:pPr>
        <w:pStyle w:val="ListParagraph"/>
        <w:numPr>
          <w:ilvl w:val="0"/>
          <w:numId w:val="3"/>
        </w:numPr>
        <w:spacing w:after="60"/>
      </w:pPr>
      <w:r>
        <w:t xml:space="preserve">Create a learning user per persona you lack licences for by </w:t>
      </w:r>
      <w:r>
        <w:rPr>
          <w:b/>
          <w:bCs/>
        </w:rPr>
        <w:t xml:space="preserve">freezing/unfreezing</w:t>
      </w:r>
      <w:r>
        <w:t xml:space="preserve"> and reassigning users (licence-limited orgs) — document how you tested each persona (specialist, underwriter, branch manager, credit, servicing ops).</w:t>
      </w:r>
    </w:p>
    <w:p>
      <w:pPr>
        <w:pBdr>
          <w:bottom w:val="single" w:color="BFBFBF" w:sz="6" w:space="1"/>
        </w:pBdr>
        <w:spacing w:after="120" w:before="120"/>
      </w:pPr>
    </w:p>
    <w:p>
      <w:pPr>
        <w:pStyle w:val="Heading1"/>
      </w:pPr>
      <w:bookmarkStart w:name="s3" w:id="3"/>
      <w:r>
        <w:t xml:space="preserve">3. Configuration and Setup (15%)</w:t>
      </w:r>
      <w:bookmarkEnd w:id="3"/>
    </w:p>
    <w:p>
      <w:pPr>
        <w:pStyle w:val="Heading2"/>
      </w:pPr>
      <w:r>
        <w:t xml:space="preserve">C1 — Company-level settings</w:t>
      </w:r>
    </w:p>
    <w:p>
      <w:pPr>
        <w:spacing w:after="120"/>
      </w:pPr>
      <w:r>
        <w:rPr>
          <w:b/>
          <w:bCs/>
        </w:rPr>
        <w:t xml:space="preserve">Build:</w:t>
      </w:r>
      <w:r>
        <w:t xml:space="preserve"> Setup → </w:t>
      </w:r>
      <w:r>
        <w:rPr>
          <w:b/>
          <w:bCs/>
        </w:rPr>
        <w:t xml:space="preserve">Company Information</w:t>
      </w:r>
      <w:r>
        <w:t xml:space="preserve">: default locale English (Canada), language English, time zone (GMT-07:00) Pacific, currency CAD. </w:t>
      </w:r>
      <w:r>
        <w:rPr>
          <w:b/>
          <w:bCs/>
        </w:rPr>
        <w:t xml:space="preserve">Fiscal Year</w:t>
      </w:r>
      <w:r>
        <w:t xml:space="preserve">: standard, starting </w:t>
      </w:r>
      <w:r>
        <w:rPr>
          <w:b/>
          <w:bCs/>
        </w:rPr>
        <w:t xml:space="preserve">November</w:t>
      </w:r>
      <w:r>
        <w:t xml:space="preserve"> (most large Canadian deposit-taking institutions use a November–October year, and OSFI's loan-to-income reporting follows each institution's fiscal quarters). </w:t>
      </w:r>
      <w:r>
        <w:rPr>
          <w:b/>
          <w:bCs/>
        </w:rPr>
        <w:t xml:space="preserve">Business Hours</w:t>
      </w:r>
      <w:r>
        <w:t xml:space="preserve">: </w:t>
      </w:r>
      <w:r>
        <w:rPr>
          <w:rFonts w:ascii="Consolas" w:cs="Consolas" w:eastAsia="Consolas" w:hAnsi="Consolas"/>
          <w:sz w:val="19"/>
          <w:szCs w:val="19"/>
          <w:shd w:fill="EEF0F3" w:color="auto" w:val="clear"/>
        </w:rPr>
        <w:t xml:space="preserve">Apex Branch Hours</w:t>
      </w:r>
      <w:r>
        <w:t xml:space="preserve"> Mon–Fri 08:30–17:00 Pacific; </w:t>
      </w:r>
      <w:r>
        <w:rPr>
          <w:b/>
          <w:bCs/>
        </w:rPr>
        <w:t xml:space="preserve">Holidays</w:t>
      </w:r>
      <w:r>
        <w:t xml:space="preserve">: Canada Day, BC Day, Thanksgiving (attach to the business hours).
In the scratch org: </w:t>
      </w:r>
      <w:r>
        <w:rPr>
          <w:b/>
          <w:bCs/>
        </w:rPr>
        <w:t xml:space="preserve">Manage Currencies</w:t>
      </w:r>
      <w:r>
        <w:t xml:space="preserve"> → enable multi-currency → add USD with a conversion rate → enable </w:t>
      </w:r>
      <w:r>
        <w:rPr>
          <w:b/>
          <w:bCs/>
        </w:rPr>
        <w:t xml:space="preserve">Advanced Currency Management</w:t>
      </w:r>
      <w:r>
        <w:t xml:space="preserve"> (dated rates) and note the impact on roll-up summaries.
</w:t>
      </w:r>
      <w:r>
        <w:rPr>
          <w:b/>
          <w:bCs/>
        </w:rPr>
        <w:t xml:space="preserve">Acceptance:</w:t>
      </w:r>
      <w:r>
        <w:t xml:space="preserve"> screenshot of fiscal year, business hours with holidays; note in your log why multi-currency was done in a scratch org (irreversible).
</w:t>
      </w:r>
      <w:r>
        <w:rPr>
          <w:b/>
          <w:bCs/>
        </w:rPr>
        <w:t xml:space="preserve">Exam angle:</w:t>
      </w:r>
      <w:r>
        <w:t xml:space="preserve"> What changes when you switch from standard to custom fiscal years? What's irreversible about enabling multiple currencies?</w:t>
      </w:r>
    </w:p>
    <w:p>
      <w:pPr>
        <w:pStyle w:val="Heading2"/>
      </w:pPr>
      <w:r>
        <w:t xml:space="preserve">C2 — User lifecycle</w:t>
      </w:r>
    </w:p>
    <w:p>
      <w:pPr>
        <w:spacing w:after="120"/>
      </w:pPr>
      <w:r>
        <w:rPr>
          <w:b/>
          <w:bCs/>
        </w:rPr>
        <w:t xml:space="preserve">Build:</w:t>
      </w:r>
      <w:r>
        <w:t xml:space="preserve"> create, freeze, deactivate, reactivate a user; reset password; </w:t>
      </w:r>
      <w:r>
        <w:rPr>
          <w:b/>
          <w:bCs/>
        </w:rPr>
        <w:t xml:space="preserve">Login As</w:t>
      </w:r>
      <w:r>
        <w:t xml:space="preserve"> (Setup → Login Access Policies → </w:t>
      </w:r>
      <w:r>
        <w:rPr>
          <w:i/>
          <w:iCs/>
        </w:rPr>
        <w:t xml:space="preserve">Administrators Can Log in as Any User</w:t>
      </w:r>
      <w:r>
        <w:t xml:space="preserve">); set </w:t>
      </w:r>
      <w:r>
        <w:rPr>
          <w:b/>
          <w:bCs/>
        </w:rPr>
        <w:t xml:space="preserve">Login Hours</w:t>
      </w:r>
      <w:r>
        <w:t xml:space="preserve"> and </w:t>
      </w:r>
      <w:r>
        <w:rPr>
          <w:b/>
          <w:bCs/>
        </w:rPr>
        <w:t xml:space="preserve">Login IP Ranges</w:t>
      </w:r>
      <w:r>
        <w:t xml:space="preserve"> on a profile; assign a </w:t>
      </w:r>
      <w:r>
        <w:rPr>
          <w:b/>
          <w:bCs/>
        </w:rPr>
        <w:t xml:space="preserve">permission set licence</w:t>
      </w:r>
      <w:r>
        <w:t xml:space="preserve">; set up a </w:t>
      </w:r>
      <w:r>
        <w:rPr>
          <w:b/>
          <w:bCs/>
        </w:rPr>
        <w:t xml:space="preserve">Delegated Administration</w:t>
      </w:r>
      <w:r>
        <w:t xml:space="preserve"> group "Branch Admins VAN" that can manage users in the Mortgage Specialist VAN role and assign </w:t>
      </w:r>
      <w:r>
        <w:rPr>
          <w:rFonts w:ascii="Consolas" w:cs="Consolas" w:eastAsia="Consolas" w:hAnsi="Consolas"/>
          <w:sz w:val="19"/>
          <w:szCs w:val="19"/>
          <w:shd w:fill="EEF0F3" w:color="auto" w:val="clear"/>
        </w:rPr>
        <w:t xml:space="preserve">PSG_Specialist</w:t>
      </w:r>
      <w:r>
        <w:t xml:space="preserve">.
</w:t>
      </w:r>
      <w:r>
        <w:rPr>
          <w:b/>
          <w:bCs/>
        </w:rPr>
        <w:t xml:space="preserve">Acceptance:</w:t>
      </w:r>
      <w:r>
        <w:t xml:space="preserve"> delegated admin can reset Alice's password but cannot edit Bob (TOR).
</w:t>
      </w:r>
      <w:r>
        <w:rPr>
          <w:b/>
          <w:bCs/>
        </w:rPr>
        <w:t xml:space="preserve">Exam angle:</w:t>
      </w:r>
      <w:r>
        <w:t xml:space="preserve"> Freeze vs deactivate. What happens to records owned by a deactivated user (for example a departing specialist's pipeline)? Why can't you delete users?</w:t>
      </w:r>
    </w:p>
    <w:p>
      <w:pPr>
        <w:pStyle w:val="Heading2"/>
      </w:pPr>
      <w:r>
        <w:t xml:space="preserve">C3 — Security review (extends Project 03)</w:t>
      </w:r>
    </w:p>
    <w:p>
      <w:pPr>
        <w:spacing w:after="120"/>
      </w:pPr>
      <w:r>
        <w:rPr>
          <w:b/>
          <w:bCs/>
        </w:rPr>
        <w:t xml:space="preserve">Build:</w:t>
      </w:r>
      <w:r>
        <w:t xml:space="preserve"> password policies; session settings; </w:t>
      </w:r>
      <w:r>
        <w:rPr>
          <w:b/>
          <w:bCs/>
        </w:rPr>
        <w:t xml:space="preserve">Setup Audit Trail</w:t>
      </w:r>
      <w:r>
        <w:t xml:space="preserve"> (download 6 months); </w:t>
      </w:r>
      <w:r>
        <w:rPr>
          <w:b/>
          <w:bCs/>
        </w:rPr>
        <w:t xml:space="preserve">Login History</w:t>
      </w:r>
      <w:r>
        <w:t xml:space="preserve"> (export); </w:t>
      </w:r>
      <w:r>
        <w:rPr>
          <w:b/>
          <w:bCs/>
        </w:rPr>
        <w:t xml:space="preserve">Field History Tracking</w:t>
      </w:r>
      <w:r>
        <w:t xml:space="preserve"> on </w:t>
      </w:r>
      <w:r>
        <w:rPr>
          <w:rFonts w:ascii="Consolas" w:cs="Consolas" w:eastAsia="Consolas" w:hAnsi="Consolas"/>
          <w:sz w:val="19"/>
          <w:szCs w:val="19"/>
          <w:shd w:fill="EEF0F3" w:color="auto" w:val="clear"/>
        </w:rPr>
        <w:t xml:space="preserve">Loan__c.Interest_Rate__c</w:t>
      </w:r>
      <w:r>
        <w:t xml:space="preserve">, </w:t>
      </w:r>
      <w:r>
        <w:rPr>
          <w:rFonts w:ascii="Consolas" w:cs="Consolas" w:eastAsia="Consolas" w:hAnsi="Consolas"/>
          <w:sz w:val="19"/>
          <w:szCs w:val="19"/>
          <w:shd w:fill="EEF0F3" w:color="auto" w:val="clear"/>
        </w:rPr>
        <w:t xml:space="preserve">Loan__c.Status__c</w:t>
      </w:r>
      <w:r>
        <w:t xml:space="preserve"> and Contact mailing address; </w:t>
      </w:r>
      <w:r>
        <w:rPr>
          <w:b/>
          <w:bCs/>
        </w:rPr>
        <w:t xml:space="preserve">View Setup</w:t>
      </w:r>
      <w:r>
        <w:t xml:space="preserve"> vs </w:t>
      </w:r>
      <w:r>
        <w:rPr>
          <w:b/>
          <w:bCs/>
        </w:rPr>
        <w:t xml:space="preserve">Modify All Data</w:t>
      </w:r>
      <w:r>
        <w:t xml:space="preserve"> vs </w:t>
      </w:r>
      <w:r>
        <w:rPr>
          <w:b/>
          <w:bCs/>
        </w:rPr>
        <w:t xml:space="preserve">View All Data</w:t>
      </w:r>
      <w:r>
        <w:t xml:space="preserve"> comparison in a permission-set table you write yourself.
</w:t>
      </w:r>
      <w:r>
        <w:rPr>
          <w:b/>
          <w:bCs/>
        </w:rPr>
        <w:t xml:space="preserve">Acceptance:</w:t>
      </w:r>
      <w:r>
        <w:t xml:space="preserve"> a one-page "who can see what" matrix for Specialist, Underwriter, Branch Manager, Credit, Servicing Ops, Integration.
</w:t>
      </w:r>
      <w:r>
        <w:rPr>
          <w:b/>
          <w:bCs/>
        </w:rPr>
        <w:t xml:space="preserve">Exam angle:</w:t>
      </w:r>
      <w:r>
        <w:t xml:space="preserve"> Order of record access evaluation. When would you use a restriction rule vs a scoping rule? What does "Grant Access Using Hierarchies" do on a custom object such as </w:t>
      </w:r>
      <w:r>
        <w:rPr>
          <w:rFonts w:ascii="Consolas" w:cs="Consolas" w:eastAsia="Consolas" w:hAnsi="Consolas"/>
          <w:sz w:val="19"/>
          <w:szCs w:val="19"/>
          <w:shd w:fill="EEF0F3" w:color="auto" w:val="clear"/>
        </w:rPr>
        <w:t xml:space="preserve">Loan__c</w:t>
      </w:r>
      <w:r>
        <w:t xml:space="preserve">?</w:t>
      </w:r>
    </w:p>
    <w:p>
      <w:pPr>
        <w:pStyle w:val="Heading2"/>
      </w:pPr>
      <w:r>
        <w:t xml:space="preserve">C4 — User interface configuration</w:t>
      </w:r>
    </w:p>
    <w:p>
      <w:pPr>
        <w:spacing w:after="120"/>
      </w:pPr>
      <w:r>
        <w:rPr>
          <w:b/>
          <w:bCs/>
        </w:rPr>
        <w:t xml:space="preserve">Build:</w:t>
      </w:r>
      <w:r>
        <w:t xml:space="preserve"> </w:t>
      </w:r>
      <w:r>
        <w:rPr>
          <w:b/>
          <w:bCs/>
        </w:rPr>
        <w:t xml:space="preserve">App Manager</w:t>
      </w:r>
      <w:r>
        <w:t xml:space="preserve"> → Lightning app </w:t>
      </w:r>
      <w:r>
        <w:rPr>
          <w:rFonts w:ascii="Consolas" w:cs="Consolas" w:eastAsia="Consolas" w:hAnsi="Consolas"/>
          <w:sz w:val="19"/>
          <w:szCs w:val="19"/>
          <w:shd w:fill="EEF0F3" w:color="auto" w:val="clear"/>
        </w:rPr>
        <w:t xml:space="preserve">Apex Mortgage</w:t>
      </w:r>
      <w:r>
        <w:t xml:space="preserve">: navigation items (Home, Accounts, Contacts, Opportunities labelled </w:t>
      </w:r>
      <w:r>
        <w:rPr>
          <w:i/>
          <w:iCs/>
        </w:rPr>
        <w:t xml:space="preserve">Deals</w:t>
      </w:r>
      <w:r>
        <w:t xml:space="preserve">, Loans, Cases, Reports, Dashboards), utility bar (Notes, Recent Items, History), branding colour, assign to PSG_Specialist and PSG_Underwriter. </w:t>
      </w:r>
      <w:r>
        <w:rPr>
          <w:b/>
          <w:bCs/>
        </w:rPr>
        <w:t xml:space="preserve">Global actions</w:t>
      </w:r>
      <w:r>
        <w:t xml:space="preserve"> "New Service Request" and add to the </w:t>
      </w:r>
      <w:r>
        <w:rPr>
          <w:b/>
          <w:bCs/>
        </w:rPr>
        <w:t xml:space="preserve">publisher layout</w:t>
      </w:r>
      <w:r>
        <w:t xml:space="preserve">. </w:t>
      </w:r>
      <w:r>
        <w:rPr>
          <w:b/>
          <w:bCs/>
        </w:rPr>
        <w:t xml:space="preserve">List views</w:t>
      </w:r>
      <w:r>
        <w:t xml:space="preserve"> with sharing to roles (</w:t>
      </w:r>
      <w:r>
        <w:rPr>
          <w:i/>
          <w:iCs/>
        </w:rPr>
        <w:t xml:space="preserve">My deals closing this month</w:t>
      </w:r>
      <w:r>
        <w:t xml:space="preserve">, </w:t>
      </w:r>
      <w:r>
        <w:rPr>
          <w:i/>
          <w:iCs/>
        </w:rPr>
        <w:t xml:space="preserve">Loans maturing in 120 days</w:t>
      </w:r>
      <w:r>
        <w:t xml:space="preserve">); </w:t>
      </w:r>
      <w:r>
        <w:rPr>
          <w:b/>
          <w:bCs/>
        </w:rPr>
        <w:t xml:space="preserve">search layouts</w:t>
      </w:r>
      <w:r>
        <w:t xml:space="preserve">; </w:t>
      </w:r>
      <w:r>
        <w:rPr>
          <w:b/>
          <w:bCs/>
        </w:rPr>
        <w:t xml:space="preserve">Themes and Branding</w:t>
      </w:r>
      <w:r>
        <w:t xml:space="preserve">.
</w:t>
      </w:r>
      <w:r>
        <w:rPr>
          <w:b/>
          <w:bCs/>
        </w:rPr>
        <w:t xml:space="preserve">Acceptance:</w:t>
      </w:r>
      <w:r>
        <w:t xml:space="preserve"> Alice sees only the Apex Mortgage app with the global action.</w:t>
      </w:r>
    </w:p>
    <w:p>
      <w:pPr>
        <w:pStyle w:val="Heading2"/>
      </w:pPr>
      <w:r>
        <w:t xml:space="preserve">C5 — Environments and release management</w:t>
      </w:r>
    </w:p>
    <w:p>
      <w:pPr>
        <w:spacing w:after="120"/>
      </w:pPr>
      <w:r>
        <w:rPr>
          <w:b/>
          <w:bCs/>
        </w:rPr>
        <w:t xml:space="preserve">Build:</w:t>
      </w:r>
      <w:r>
        <w:t xml:space="preserve"> Developer Edition has no sandboxes, so learn by doing in scratch orgs + documenting: write </w:t>
      </w:r>
      <w:r>
        <w:rPr>
          <w:rFonts w:ascii="Consolas" w:cs="Consolas" w:eastAsia="Consolas" w:hAnsi="Consolas"/>
          <w:sz w:val="19"/>
          <w:szCs w:val="19"/>
          <w:shd w:fill="EEF0F3" w:color="auto" w:val="clear"/>
        </w:rPr>
        <w:t xml:space="preserve">08-admin/release-management.md</w:t>
      </w:r>
      <w:r>
        <w:t xml:space="preserve"> covering sandbox types (Developer, Developer Pro, Partial Copy, Full) with refresh intervals and use, </w:t>
      </w:r>
      <w:r>
        <w:rPr>
          <w:b/>
          <w:bCs/>
        </w:rPr>
        <w:t xml:space="preserve">change sets</w:t>
      </w:r>
      <w:r>
        <w:t xml:space="preserve"> (outbound/inbound, deployment connections, what can't be deployed), unmanaged vs managed packages, and the source-driven flow you already use (</w:t>
      </w:r>
      <w:r>
        <w:rPr>
          <w:rFonts w:ascii="Consolas" w:cs="Consolas" w:eastAsia="Consolas" w:hAnsi="Consolas"/>
          <w:sz w:val="19"/>
          <w:szCs w:val="19"/>
          <w:shd w:fill="EEF0F3" w:color="auto" w:val="clear"/>
        </w:rPr>
        <w:t xml:space="preserve">sf project deploy</w:t>
      </w:r>
      <w:r>
        <w:t xml:space="preserve">).
</w:t>
      </w:r>
      <w:r>
        <w:rPr>
          <w:b/>
          <w:bCs/>
        </w:rPr>
        <w:t xml:space="preserve">Build (hands-on):</w:t>
      </w:r>
      <w:r>
        <w:t xml:space="preserve"> deploy a field + page layout from </w:t>
      </w:r>
      <w:r>
        <w:rPr>
          <w:rFonts w:ascii="Consolas" w:cs="Consolas" w:eastAsia="Consolas" w:hAnsi="Consolas"/>
          <w:sz w:val="19"/>
          <w:szCs w:val="19"/>
          <w:shd w:fill="EEF0F3" w:color="auto" w:val="clear"/>
        </w:rPr>
        <w:t xml:space="preserve">apex-dev</w:t>
      </w:r>
      <w:r>
        <w:t xml:space="preserve"> to </w:t>
      </w:r>
      <w:r>
        <w:rPr>
          <w:rFonts w:ascii="Consolas" w:cs="Consolas" w:eastAsia="Consolas" w:hAnsi="Consolas"/>
          <w:sz w:val="19"/>
          <w:szCs w:val="19"/>
          <w:shd w:fill="EEF0F3" w:color="auto" w:val="clear"/>
        </w:rPr>
        <w:t xml:space="preserve">apex-admin-lab</w:t>
      </w:r>
      <w:r>
        <w:t xml:space="preserve"> with </w:t>
      </w:r>
      <w:r>
        <w:rPr>
          <w:rFonts w:ascii="Consolas" w:cs="Consolas" w:eastAsia="Consolas" w:hAnsi="Consolas"/>
          <w:sz w:val="19"/>
          <w:szCs w:val="19"/>
          <w:shd w:fill="EEF0F3" w:color="auto" w:val="clear"/>
        </w:rPr>
        <w:t xml:space="preserve">sf project deploy start --target-org apex-admin-lab</w:t>
      </w:r>
      <w:r>
        <w:t xml:space="preserve">, then validate-only (</w:t>
      </w:r>
      <w:r>
        <w:rPr>
          <w:rFonts w:ascii="Consolas" w:cs="Consolas" w:eastAsia="Consolas" w:hAnsi="Consolas"/>
          <w:sz w:val="19"/>
          <w:szCs w:val="19"/>
          <w:shd w:fill="EEF0F3" w:color="auto" w:val="clear"/>
        </w:rPr>
        <w:t xml:space="preserve">--dry-run</w:t>
      </w:r>
      <w:r>
        <w:t xml:space="preserve">).
</w:t>
      </w:r>
      <w:r>
        <w:rPr>
          <w:b/>
          <w:bCs/>
        </w:rPr>
        <w:t xml:space="preserve">Exam angle:</w:t>
      </w:r>
      <w:r>
        <w:t xml:space="preserve"> Which sandbox for UAT with a subset of data? Which for performance testing? What metadata do change sets miss?</w:t>
      </w:r>
    </w:p>
    <w:p>
      <w:pPr>
        <w:pStyle w:val="Heading2"/>
      </w:pPr>
      <w:r>
        <w:t xml:space="preserve">C6 — AppExchange evaluation</w:t>
      </w:r>
    </w:p>
    <w:p>
      <w:pPr>
        <w:spacing w:after="120"/>
      </w:pPr>
      <w:r>
        <w:rPr>
          <w:b/>
          <w:bCs/>
        </w:rPr>
        <w:t xml:space="preserve">Build:</w:t>
      </w:r>
      <w:r>
        <w:t xml:space="preserve"> install one free, Salesforce Labs package (e.g., a dashboard pack) into the </w:t>
      </w:r>
      <w:r>
        <w:rPr>
          <w:b/>
          <w:bCs/>
        </w:rPr>
        <w:t xml:space="preserve">scratch org</w:t>
      </w:r>
      <w:r>
        <w:t xml:space="preserve"> only; record: security review status, permissions it requests, managed vs unmanaged, uninstall steps.
</w:t>
      </w:r>
      <w:r>
        <w:rPr>
          <w:b/>
          <w:bCs/>
        </w:rPr>
        <w:t xml:space="preserve">Acceptance:</w:t>
      </w:r>
      <w:r>
        <w:t xml:space="preserve"> an "AppExchange intake checklist" in your repo — for a regulated lender it doubles as the first step of OSFI B-10 third-party risk review.</w:t>
      </w:r>
    </w:p>
    <w:p>
      <w:pPr>
        <w:pBdr>
          <w:bottom w:val="single" w:color="BFBFBF" w:sz="6" w:space="1"/>
        </w:pBdr>
        <w:spacing w:after="120" w:before="120"/>
      </w:pPr>
    </w:p>
    <w:p>
      <w:pPr>
        <w:pStyle w:val="Heading1"/>
      </w:pPr>
      <w:bookmarkStart w:name="s4" w:id="4"/>
      <w:r>
        <w:t xml:space="preserve">4. Object Manager and Lightning App Builder (15%)</w:t>
      </w:r>
      <w:bookmarkEnd w:id="4"/>
    </w:p>
    <w:p>
      <w:pPr>
        <w:pStyle w:val="Heading2"/>
      </w:pPr>
      <w:r>
        <w:t xml:space="preserve">O1 — Field types and when to use each</w:t>
      </w:r>
    </w:p>
    <w:p>
      <w:pPr>
        <w:spacing w:after="120"/>
      </w:pPr>
      <w:r>
        <w:t xml:space="preserve">Add to the Apex model and note the rule each demonstrates: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79"/>
        <w:gridCol w:w="1386"/>
        <w:gridCol w:w="3880"/>
        <w:gridCol w:w="2135"/>
      </w:tblGrid>
      <w:tr>
        <w:trPr>
          <w:cantSplit/>
          <w:tblHeader/>
        </w:trPr>
        <w:tc>
          <w:tcPr>
            <w:tcW w:type="dxa" w:w="267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Field</w:t>
            </w:r>
          </w:p>
        </w:tc>
        <w:tc>
          <w:tcPr>
            <w:tcW w:type="dxa" w:w="13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Object</w:t>
            </w:r>
          </w:p>
        </w:tc>
        <w:tc>
          <w:tcPr>
            <w:tcW w:type="dxa" w:w="3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Type</w:t>
            </w:r>
          </w:p>
        </w:tc>
        <w:tc>
          <w:tcPr>
            <w:tcW w:type="dxa" w:w="21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Teaches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Outstanding_Conditions__c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Roll-up summary</w:t>
            </w:r>
            <w:r>
              <w:rPr>
                <w:b w:val="false"/>
                <w:bCs w:val="false"/>
                <w:sz w:val="17"/>
                <w:szCs w:val="17"/>
              </w:rPr>
              <w:t xml:space="preserve"> (COUNT Condition where Status is Outstanding or Received)</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on the master side of master-detail; filter criteria</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Purchase_Price__c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Roll-up (MAX Property.Purchase_Price__c)</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MIN/MAX roll-ups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Borrower_Count__c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Roll-up (COUNT Loan_Party__c)</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Roll-ups on custom masters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Days_To_Maturity__c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Formula</w:t>
            </w:r>
            <w:r>
              <w:rPr>
                <w:b w:val="false"/>
                <w:bCs w:val="false"/>
                <w:sz w:val="17"/>
                <w:szCs w:val="17"/>
              </w:rPr>
              <w:t xml:space="preserve"> (Number) </w:t>
            </w:r>
            <w:r>
              <w:rPr>
                <w:rFonts w:ascii="Consolas" w:cs="Consolas" w:eastAsia="Consolas" w:hAnsi="Consolas"/>
                <w:b w:val="false"/>
                <w:bCs w:val="false"/>
                <w:sz w:val="16"/>
                <w:szCs w:val="16"/>
                <w:shd w:fill="EEF0F3" w:color="auto" w:val="clear"/>
              </w:rPr>
              <w:t xml:space="preserve">Maturity_Date__c - TODAY()</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Formula return types, date arithmetic, null handling</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LTV__c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Formula (Percent), from Project 03</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Formulas look </w:t>
            </w:r>
            <w:r>
              <w:rPr>
                <w:b w:val="false"/>
                <w:bCs w:val="false"/>
                <w:i/>
                <w:iCs/>
                <w:sz w:val="17"/>
                <w:szCs w:val="17"/>
              </w:rPr>
              <w:t xml:space="preserve">up</w:t>
            </w:r>
            <w:r>
              <w:rPr>
                <w:b w:val="false"/>
                <w:bCs w:val="false"/>
                <w:sz w:val="17"/>
                <w:szCs w:val="17"/>
              </w:rPr>
              <w:t xml:space="preserve"> relationships, never down to children</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Income_Type__c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Applicant Income</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Picklist with </w:t>
            </w:r>
            <w:r>
              <w:rPr>
                <w:b/>
                <w:bCs/>
                <w:sz w:val="17"/>
                <w:szCs w:val="17"/>
              </w:rPr>
              <w:t xml:space="preserve">global value set</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Income_Types</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Reusable values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Verification_Document__c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Applicant Income</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Dependent picklist</w:t>
            </w:r>
            <w:r>
              <w:rPr>
                <w:b w:val="false"/>
                <w:bCs w:val="false"/>
                <w:sz w:val="17"/>
                <w:szCs w:val="17"/>
              </w:rPr>
              <w:t xml:space="preserve"> on </w:t>
            </w:r>
            <w:r>
              <w:rPr>
                <w:rFonts w:ascii="Consolas" w:cs="Consolas" w:eastAsia="Consolas" w:hAnsi="Consolas"/>
                <w:b w:val="false"/>
                <w:bCs w:val="false"/>
                <w:sz w:val="16"/>
                <w:szCs w:val="16"/>
                <w:shd w:fill="EEF0F3" w:color="auto" w:val="clear"/>
              </w:rPr>
              <w:t xml:space="preserve">Income_Type__c</w:t>
            </w:r>
            <w:r>
              <w:rPr>
                <w:b w:val="false"/>
                <w:bCs w:val="false"/>
                <w:sz w:val="17"/>
                <w:szCs w:val="17"/>
              </w:rPr>
              <w:t xml:space="preserve"> (Salaried → T4, Pay stub, Employment letter; Self-employed → T1 General, Notice of Assessment, Financial statements)</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Controlling/dependent</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Underwriter__c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Lookup(User) with </w:t>
            </w:r>
            <w:r>
              <w:rPr>
                <w:b/>
                <w:bCs/>
                <w:sz w:val="17"/>
                <w:szCs w:val="17"/>
              </w:rPr>
              <w:t xml:space="preserve">lookup filter</w:t>
            </w:r>
            <w:r>
              <w:rPr>
                <w:b w:val="false"/>
                <w:bCs w:val="false"/>
                <w:sz w:val="17"/>
                <w:szCs w:val="17"/>
              </w:rPr>
              <w:t xml:space="preserve"> (only active users in the Underwriter role)</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Lookup filters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Underwriting_Notes__c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Rich text area</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Field limits</w:t>
            </w:r>
          </w:p>
        </w:tc>
      </w:tr>
      <w:tr>
        <w:trPr>
          <w:cantSplit/>
        </w:trPr>
        <w:tc>
          <w:tcPr>
            <w:tcW w:type="dxa" w:w="26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Renewal_Statement_Sent__c</w:t>
            </w:r>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Date</w:t>
            </w:r>
          </w:p>
        </w:tc>
        <w:tc>
          <w:tcPr>
            <w:tcW w:type="dxa" w:w="21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Used by the regulatory flow in F4</w:t>
            </w:r>
          </w:p>
        </w:tc>
      </w:tr>
    </w:tbl>
    <w:p>
      <w:pPr>
        <w:spacing w:after="120"/>
      </w:pPr>
    </w:p>
    <w:p>
      <w:pPr>
        <w:pStyle w:val="Heading2"/>
      </w:pPr>
      <w:r>
        <w:t xml:space="preserve">O2 — Relationship design</w:t>
      </w:r>
    </w:p>
    <w:p>
      <w:pPr>
        <w:spacing w:after="120"/>
      </w:pPr>
      <w:r>
        <w:rPr>
          <w:b/>
          <w:bCs/>
        </w:rPr>
        <w:t xml:space="preserve">Build:</w:t>
      </w:r>
      <w:r>
        <w:t xml:space="preserve"> a </w:t>
      </w:r>
      <w:r>
        <w:rPr>
          <w:b/>
          <w:bCs/>
        </w:rPr>
        <w:t xml:space="preserve">junction object</w:t>
      </w:r>
      <w:r>
        <w:t xml:space="preserve"> </w:t>
      </w:r>
      <w:r>
        <w:rPr>
          <w:rFonts w:ascii="Consolas" w:cs="Consolas" w:eastAsia="Consolas" w:hAnsi="Consolas"/>
          <w:sz w:val="19"/>
          <w:szCs w:val="19"/>
          <w:shd w:fill="EEF0F3" w:color="auto" w:val="clear"/>
        </w:rPr>
        <w:t xml:space="preserve">Specialist_Coverage__c</w:t>
      </w:r>
      <w:r>
        <w:t xml:space="preserve"> (master-detail to Account and lookup to User) to model co-coverage of a household; compare with Account Teams. Use </w:t>
      </w:r>
      <w:r>
        <w:rPr>
          <w:b/>
          <w:bCs/>
        </w:rPr>
        <w:t xml:space="preserve">Schema Builder</w:t>
      </w:r>
      <w:r>
        <w:t xml:space="preserve"> to screenshot the deal model (Opportunity with Property, Applicant Income, Liability and Condition; Loan with Loan Party).
</w:t>
      </w:r>
      <w:r>
        <w:rPr>
          <w:b/>
          <w:bCs/>
        </w:rPr>
        <w:t xml:space="preserve">Exam angle:</w:t>
      </w:r>
      <w:r>
        <w:t xml:space="preserve"> Master-detail vs lookup: sharing, deletion, roll-ups, reparenting, required. What happens when you convert a lookup to master-detail with existing nulls?</w:t>
      </w:r>
    </w:p>
    <w:p>
      <w:pPr>
        <w:pStyle w:val="Heading2"/>
      </w:pPr>
      <w:r>
        <w:t xml:space="preserve">O3 — Validation rules</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Name: Postal_Code_Format     Object: Contact</w:t>
      </w:r>
    </w:p>
    <w:p>
      <w:pPr>
        <w:pStyle w:val="Code"/>
        <w:shd w:fill="F3F4F6" w:color="auto" w:val="clear"/>
        <w:spacing w:after="0" w:before="0"/>
        <w:ind w:left="0"/>
      </w:pPr>
      <w:r>
        <w:rPr>
          <w:rFonts w:ascii="Consolas" w:cs="Consolas" w:eastAsia="Consolas" w:hAnsi="Consolas"/>
        </w:rPr>
        <w:t xml:space="preserve">Formula: AND(NOT(ISBLANK(MailingPostalCode)), NOT(REGEX(MailingPostalCode, "[A-Z][0-9][A-Z] ?[0-9][A-Z][0-9]")))</w:t>
      </w:r>
    </w:p>
    <w:p>
      <w:pPr>
        <w:pStyle w:val="Code"/>
        <w:shd w:fill="F3F4F6" w:color="auto" w:val="clear"/>
        <w:spacing w:after="160" w:before="0"/>
        <w:ind w:left="0"/>
      </w:pPr>
      <w:r>
        <w:rPr>
          <w:rFonts w:ascii="Consolas" w:cs="Consolas" w:eastAsia="Consolas" w:hAnsi="Consolas"/>
        </w:rPr>
        <w:t xml:space="preserve">Error:   "Enter a valid Canadian postal code (e.g. V5H 2A1)."  Location: MailingPostalCode</w:t>
      </w:r>
    </w:p>
    <w:p>
      <w:pPr>
        <w:spacing w:after="120"/>
      </w:pPr>
      <w:r>
        <w:t xml:space="preserve">Add </w:t>
      </w:r>
      <w:r>
        <w:rPr>
          <w:rFonts w:ascii="Consolas" w:cs="Consolas" w:eastAsia="Consolas" w:hAnsi="Consolas"/>
          <w:sz w:val="19"/>
          <w:szCs w:val="19"/>
          <w:shd w:fill="EEF0F3" w:color="auto" w:val="clear"/>
        </w:rPr>
        <w:t xml:space="preserve">Close_Date_Not_Past</w:t>
      </w:r>
      <w:r>
        <w:t xml:space="preserve"> on Opportunity and a cross-object rule on Condition — a condition can't be waived without an approved waiver:</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Name: Waiver_Needs_Approval  Object: Condition__c</w:t>
      </w:r>
    </w:p>
    <w:p>
      <w:pPr>
        <w:pStyle w:val="Code"/>
        <w:shd w:fill="F3F4F6" w:color="auto" w:val="clear"/>
        <w:spacing w:after="0" w:before="0"/>
        <w:ind w:left="0"/>
      </w:pPr>
      <w:r>
        <w:rPr>
          <w:rFonts w:ascii="Consolas" w:cs="Consolas" w:eastAsia="Consolas" w:hAnsi="Consolas"/>
        </w:rPr>
        <w:t xml:space="preserve">Formula: AND(ISPICKVAL(Status__c, "Waived"),</w:t>
      </w:r>
    </w:p>
    <w:p>
      <w:pPr>
        <w:pStyle w:val="Code"/>
        <w:shd w:fill="F3F4F6" w:color="auto" w:val="clear"/>
        <w:spacing w:after="0" w:before="0"/>
        <w:ind w:left="0"/>
      </w:pPr>
      <w:r>
        <w:rPr>
          <w:rFonts w:ascii="Consolas" w:cs="Consolas" w:eastAsia="Consolas" w:hAnsi="Consolas"/>
        </w:rPr>
        <w:t xml:space="preserve">             NOT(OR(ISPICKVAL(Waiver_Approval__r.Status__c, "Approved"), ISPICKVAL(Waiver_Approval__r.Status__c, "Executed"))))</w:t>
      </w:r>
    </w:p>
    <w:p>
      <w:pPr>
        <w:pStyle w:val="Code"/>
        <w:shd w:fill="F3F4F6" w:color="auto" w:val="clear"/>
        <w:spacing w:after="160" w:before="0"/>
        <w:ind w:left="0"/>
      </w:pPr>
      <w:r>
        <w:rPr>
          <w:rFonts w:ascii="Consolas" w:cs="Consolas" w:eastAsia="Consolas" w:hAnsi="Consolas"/>
        </w:rPr>
        <w:t xml:space="preserve">Error:   "A condition can only be waived through an approved waiver request."</w:t>
      </w:r>
    </w:p>
    <w:p>
      <w:pPr>
        <w:spacing w:after="120"/>
      </w:pPr>
      <w:r>
        <w:t xml:space="preserve">Then test every deal rule from Project 03 Step 2 (insured amortization, price cap, insurance above 80% LTV, straight switch, only underwriters decide) with a passing and a failing record each.
</w:t>
      </w:r>
      <w:r>
        <w:rPr>
          <w:b/>
          <w:bCs/>
        </w:rPr>
        <w:t xml:space="preserve">Exam angle:</w:t>
      </w:r>
      <w:r>
        <w:t xml:space="preserve"> Validation rules run before or after before-save flows? Do they fire on Data Import Wizard loads? Can a validation rule reference a roll-up summary field?</w:t>
      </w:r>
    </w:p>
    <w:p>
      <w:pPr>
        <w:pStyle w:val="Heading2"/>
      </w:pPr>
      <w:r>
        <w:t xml:space="preserve">O4 — Record types, page layouts, assignments</w:t>
      </w:r>
    </w:p>
    <w:p>
      <w:pPr>
        <w:spacing w:after="120"/>
      </w:pPr>
      <w:r>
        <w:rPr>
          <w:b/>
          <w:bCs/>
        </w:rPr>
        <w:t xml:space="preserve">Build:</w:t>
      </w:r>
      <w:r>
        <w:t xml:space="preserve"> Opportunity record types Purchase, Refinance, Switch and Renewal, each with its own </w:t>
      </w:r>
      <w:r>
        <w:rPr>
          <w:b/>
          <w:bCs/>
        </w:rPr>
        <w:t xml:space="preserve">page layout</w:t>
      </w:r>
      <w:r>
        <w:t xml:space="preserve"> and </w:t>
      </w:r>
      <w:r>
        <w:rPr>
          <w:b/>
          <w:bCs/>
        </w:rPr>
        <w:t xml:space="preserve">sales process</w:t>
      </w:r>
      <w:r>
        <w:t xml:space="preserve"> (Renewal uses a shorter process: Inquiry → Commitment Issued → Funded / Closed Lost), and </w:t>
      </w:r>
      <w:r>
        <w:rPr>
          <w:b/>
          <w:bCs/>
        </w:rPr>
        <w:t xml:space="preserve">picklist values per record type</w:t>
      </w:r>
      <w:r>
        <w:t xml:space="preserve">. Case record types Service Request, Address Change, Complaint and Financial Hardship, each with a </w:t>
      </w:r>
      <w:r>
        <w:rPr>
          <w:b/>
          <w:bCs/>
        </w:rPr>
        <w:t xml:space="preserve">support process</w:t>
      </w:r>
      <w:r>
        <w:t xml:space="preserve"> (status values). Assign layouts by profile/record type matrix.</w:t>
      </w:r>
    </w:p>
    <w:p>
      <w:pPr>
        <w:pStyle w:val="Heading2"/>
      </w:pPr>
      <w:r>
        <w:t xml:space="preserve">O5 — Lightning record pages, Dynamic Forms and Actions</w:t>
      </w:r>
    </w:p>
    <w:p>
      <w:pPr>
        <w:spacing w:after="120"/>
      </w:pPr>
      <w:r>
        <w:rPr>
          <w:b/>
          <w:bCs/>
        </w:rPr>
        <w:t xml:space="preserve">Build:</w:t>
      </w:r>
      <w:r>
        <w:t xml:space="preserve"> Lightning App Builder → Opportunity record page </w:t>
      </w:r>
      <w:r>
        <w:rPr>
          <w:rFonts w:ascii="Consolas" w:cs="Consolas" w:eastAsia="Consolas" w:hAnsi="Consolas"/>
          <w:sz w:val="19"/>
          <w:szCs w:val="19"/>
          <w:shd w:fill="EEF0F3" w:color="auto" w:val="clear"/>
        </w:rPr>
        <w:t xml:space="preserve">Apex Deal Page</w:t>
      </w:r>
      <w:r>
        <w:t xml:space="preserve">: tabs (Application, Conditions, Documents, Underwriting), </w:t>
      </w:r>
      <w:r>
        <w:rPr>
          <w:b/>
          <w:bCs/>
        </w:rPr>
        <w:t xml:space="preserve">Dynamic Forms</w:t>
      </w:r>
      <w:r>
        <w:t xml:space="preserve"> sections with component visibility (show the </w:t>
      </w:r>
      <w:r>
        <w:rPr>
          <w:i/>
          <w:iCs/>
        </w:rPr>
        <w:t xml:space="preserve">Underwriting</w:t>
      </w:r>
      <w:r>
        <w:t xml:space="preserve"> section only with the custom permission </w:t>
      </w:r>
      <w:r>
        <w:rPr>
          <w:rFonts w:ascii="Consolas" w:cs="Consolas" w:eastAsia="Consolas" w:hAnsi="Consolas"/>
          <w:sz w:val="19"/>
          <w:szCs w:val="19"/>
          <w:shd w:fill="EEF0F3" w:color="auto" w:val="clear"/>
        </w:rPr>
        <w:t xml:space="preserve">Underwriting_View</w:t>
      </w:r>
      <w:r>
        <w:t xml:space="preserve">, given to underwriters and credit), </w:t>
      </w:r>
      <w:r>
        <w:rPr>
          <w:b/>
          <w:bCs/>
        </w:rPr>
        <w:t xml:space="preserve">Dynamic Actions</w:t>
      </w:r>
      <w:r>
        <w:t xml:space="preserve"> (show "Request Funding" only when Stage = Conditions Satisfied and </w:t>
      </w:r>
      <w:r>
        <w:rPr>
          <w:rFonts w:ascii="Consolas" w:cs="Consolas" w:eastAsia="Consolas" w:hAnsi="Consolas"/>
          <w:sz w:val="19"/>
          <w:szCs w:val="19"/>
          <w:shd w:fill="EEF0F3" w:color="auto" w:val="clear"/>
        </w:rPr>
        <w:t xml:space="preserve">Outstanding_Conditions__c = 0</w:t>
      </w:r>
      <w:r>
        <w:t xml:space="preserve">), </w:t>
      </w:r>
      <w:r>
        <w:rPr>
          <w:b/>
          <w:bCs/>
        </w:rPr>
        <w:t xml:space="preserve">Path</w:t>
      </w:r>
      <w:r>
        <w:t xml:space="preserve"> on deal stages with guidance ("rate hold expires 120 days after pre-approval"). On the Contact page </w:t>
      </w:r>
      <w:r>
        <w:rPr>
          <w:rFonts w:ascii="Consolas" w:cs="Consolas" w:eastAsia="Consolas" w:hAnsi="Consolas"/>
          <w:sz w:val="19"/>
          <w:szCs w:val="19"/>
          <w:shd w:fill="EEF0F3" w:color="auto" w:val="clear"/>
        </w:rPr>
        <w:t xml:space="preserve">Apex Borrower Page</w:t>
      </w:r>
      <w:r>
        <w:t xml:space="preserve">, show "Propose Address Change" only for borrowers in the user's book. Activate by app + record type + profile.
</w:t>
      </w:r>
      <w:r>
        <w:rPr>
          <w:b/>
          <w:bCs/>
        </w:rPr>
        <w:t xml:space="preserve">Acceptance:</w:t>
      </w:r>
      <w:r>
        <w:t xml:space="preserve"> Uma and Alice see different sections on the same deal.</w:t>
      </w:r>
    </w:p>
    <w:p>
      <w:pPr>
        <w:pStyle w:val="Heading2"/>
      </w:pPr>
      <w:r>
        <w:t xml:space="preserve">O6 — Compact layouts and highlights</w:t>
      </w:r>
    </w:p>
    <w:p>
      <w:pPr>
        <w:spacing w:after="120"/>
      </w:pPr>
      <w:r>
        <w:t xml:space="preserve">Compact layout on Opportunity (Application Number, Loan Amount, LTV, Closing Date, Stage) and on Loan (Core Loan Id, Balance, Rate, Maturity Date) → assign as primary; observe the effect on mobile (P4).</w:t>
      </w:r>
    </w:p>
    <w:p>
      <w:pPr>
        <w:pStyle w:val="Heading2"/>
      </w:pPr>
      <w:r>
        <w:t xml:space="preserve">O7 — Field management hygiene</w:t>
      </w:r>
    </w:p>
    <w:p>
      <w:pPr>
        <w:spacing w:after="120"/>
      </w:pPr>
      <w:r>
        <w:t xml:space="preserve">Delete a test field and restore it from </w:t>
      </w:r>
      <w:r>
        <w:rPr>
          <w:b/>
          <w:bCs/>
        </w:rPr>
        <w:t xml:space="preserve">Deleted Fields</w:t>
      </w:r>
      <w:r>
        <w:t xml:space="preserve"> within 15 days; track field usage; set field-level help text (explain GDS and TDS in the help text — a small kindness to new specialists); use </w:t>
      </w:r>
      <w:r>
        <w:rPr>
          <w:b/>
          <w:bCs/>
        </w:rPr>
        <w:t xml:space="preserve">Field Dependency</w:t>
      </w:r>
      <w:r>
        <w:t xml:space="preserve"> matrix. Document the impact of changing field types (data loss).</w:t>
      </w:r>
    </w:p>
    <w:p>
      <w:pPr>
        <w:pBdr>
          <w:bottom w:val="single" w:color="BFBFBF" w:sz="6" w:space="1"/>
        </w:pBdr>
        <w:spacing w:after="120" w:before="120"/>
      </w:pPr>
    </w:p>
    <w:p>
      <w:pPr>
        <w:pStyle w:val="Heading1"/>
      </w:pPr>
      <w:bookmarkStart w:name="s5" w:id="5"/>
      <w:r>
        <w:t xml:space="preserve">5. Sales and Marketing Applications (10%)</w:t>
      </w:r>
      <w:bookmarkEnd w:id="5"/>
    </w:p>
    <w:p>
      <w:pPr>
        <w:spacing w:after="120"/>
      </w:pPr>
      <w:r>
        <w:t xml:space="preserve">Scenario: Apex's </w:t>
      </w:r>
      <w:r>
        <w:rPr>
          <w:b/>
          <w:bCs/>
        </w:rPr>
        <w:t xml:space="preserve">lead-to-funded</w:t>
      </w:r>
      <w:r>
        <w:t xml:space="preserve"> pipeline.</w:t>
      </w:r>
    </w:p>
    <w:p>
      <w:pPr>
        <w:pStyle w:val="Heading2"/>
      </w:pPr>
      <w:r>
        <w:t xml:space="preserve">S1 — Leads</w:t>
      </w:r>
    </w:p>
    <w:p>
      <w:pPr>
        <w:spacing w:after="120"/>
      </w:pPr>
      <w:r>
        <w:rPr>
          <w:b/>
          <w:bCs/>
        </w:rPr>
        <w:t xml:space="preserve">Build:</w:t>
      </w:r>
      <w:r>
        <w:t xml:space="preserve"> lead fields (Purchase Timeline, Estimated Purchase Price, Down Payment, First-Time Buyer), </w:t>
      </w:r>
      <w:r>
        <w:rPr>
          <w:b/>
          <w:bCs/>
        </w:rPr>
        <w:t xml:space="preserve">Web-to-Lead</w:t>
      </w:r>
      <w:r>
        <w:t xml:space="preserve"> "Get pre-approved" form (Setup → Web-to-Lead → generate HTML; host locally, submit a test), </w:t>
      </w:r>
      <w:r>
        <w:rPr>
          <w:b/>
          <w:bCs/>
        </w:rPr>
        <w:t xml:space="preserve">Lead Assignment Rules</w:t>
      </w:r>
      <w:r>
        <w:t xml:space="preserve"> (estimated price ≥ $1,500,000 → queue </w:t>
      </w:r>
      <w:r>
        <w:rPr>
          <w:rFonts w:ascii="Consolas" w:cs="Consolas" w:eastAsia="Consolas" w:hAnsi="Consolas"/>
          <w:sz w:val="19"/>
          <w:szCs w:val="19"/>
          <w:shd w:fill="EEF0F3" w:color="auto" w:val="clear"/>
        </w:rPr>
        <w:t xml:space="preserve">High_Value_Lending</w:t>
      </w:r>
      <w:r>
        <w:t xml:space="preserve">, because those deals can't be insured and need 20% down; otherwise round-robin by province queue), </w:t>
      </w:r>
      <w:r>
        <w:rPr>
          <w:b/>
          <w:bCs/>
        </w:rPr>
        <w:t xml:space="preserve">Auto-Response Rules</w:t>
      </w:r>
      <w:r>
        <w:t xml:space="preserve">, </w:t>
      </w:r>
      <w:r>
        <w:rPr>
          <w:b/>
          <w:bCs/>
        </w:rPr>
        <w:t xml:space="preserve">Lead Conversion</w:t>
      </w:r>
      <w:r>
        <w:t xml:space="preserve"> with custom field mapping (Lead → Household Account, Borrower Contact, Purchase Opportunity), lead processes.
</w:t>
      </w:r>
      <w:r>
        <w:rPr>
          <w:b/>
          <w:bCs/>
        </w:rPr>
        <w:t xml:space="preserve">Acceptance:</w:t>
      </w:r>
      <w:r>
        <w:t xml:space="preserve"> web form creates a lead routed to the right queue; conversion carries custom fields.</w:t>
      </w:r>
    </w:p>
    <w:p>
      <w:pPr>
        <w:pStyle w:val="Heading2"/>
      </w:pPr>
      <w:r>
        <w:t xml:space="preserve">S2 — Opportunities</w:t>
      </w:r>
    </w:p>
    <w:p>
      <w:pPr>
        <w:spacing w:after="120"/>
      </w:pPr>
      <w:r>
        <w:rPr>
          <w:b/>
          <w:bCs/>
        </w:rPr>
        <w:t xml:space="preserve">Build:</w:t>
      </w:r>
      <w:r>
        <w:t xml:space="preserve"> </w:t>
      </w:r>
      <w:r>
        <w:rPr>
          <w:b/>
          <w:bCs/>
        </w:rPr>
        <w:t xml:space="preserve">Sales Process</w:t>
      </w:r>
      <w:r>
        <w:t xml:space="preserve"> "Purchase Mortgage" (Inquiry → Pre-Approval → Application → Underwriting → Commitment Issued → Conditions Satisfied → Funding Scheduled → Funded / Closed Lost) with record type; stage probabilities; </w:t>
      </w:r>
      <w:r>
        <w:rPr>
          <w:b/>
          <w:bCs/>
        </w:rPr>
        <w:t xml:space="preserve">Path</w:t>
      </w:r>
      <w:r>
        <w:t xml:space="preserve"> guidance per stage; </w:t>
      </w:r>
      <w:r>
        <w:rPr>
          <w:b/>
          <w:bCs/>
        </w:rPr>
        <w:t xml:space="preserve">Opportunity Teams</w:t>
      </w:r>
      <w:r>
        <w:t xml:space="preserve"> (Mortgage Specialist, Underwriter, Processor); </w:t>
      </w:r>
      <w:r>
        <w:rPr>
          <w:b/>
          <w:bCs/>
        </w:rPr>
        <w:t xml:space="preserve">Products &amp; Price Books</w:t>
      </w:r>
      <w:r>
        <w:t xml:space="preserve">: products </w:t>
      </w:r>
      <w:r>
        <w:rPr>
          <w:rFonts w:ascii="Consolas" w:cs="Consolas" w:eastAsia="Consolas" w:hAnsi="Consolas"/>
          <w:sz w:val="19"/>
          <w:szCs w:val="19"/>
          <w:shd w:fill="EEF0F3" w:color="auto" w:val="clear"/>
        </w:rPr>
        <w:t xml:space="preserve">5-Year Fixed</w:t>
      </w:r>
      <w:r>
        <w:t xml:space="preserve">, </w:t>
      </w:r>
      <w:r>
        <w:rPr>
          <w:rFonts w:ascii="Consolas" w:cs="Consolas" w:eastAsia="Consolas" w:hAnsi="Consolas"/>
          <w:sz w:val="19"/>
          <w:szCs w:val="19"/>
          <w:shd w:fill="EEF0F3" w:color="auto" w:val="clear"/>
        </w:rPr>
        <w:t xml:space="preserve">3-Year Fixed</w:t>
      </w:r>
      <w:r>
        <w:t xml:space="preserve">, </w:t>
      </w:r>
      <w:r>
        <w:rPr>
          <w:rFonts w:ascii="Consolas" w:cs="Consolas" w:eastAsia="Consolas" w:hAnsi="Consolas"/>
          <w:sz w:val="19"/>
          <w:szCs w:val="19"/>
          <w:shd w:fill="EEF0F3" w:color="auto" w:val="clear"/>
        </w:rPr>
        <w:t xml:space="preserve">5-Year Variable</w:t>
      </w:r>
      <w:r>
        <w:t xml:space="preserve"> in a CAD price book, added to each deal with quantity 1 and sales price = loan amount so funded-volume reports and forecasts work by product; </w:t>
      </w:r>
      <w:r>
        <w:rPr>
          <w:b/>
          <w:bCs/>
        </w:rPr>
        <w:t xml:space="preserve">Quotes</w:t>
      </w:r>
      <w:r>
        <w:t xml:space="preserve"> (enable, generate a "Commitment Letter" PDF template — Project 13 B3 refines it).
</w:t>
      </w:r>
      <w:r>
        <w:rPr>
          <w:b/>
          <w:bCs/>
        </w:rPr>
        <w:t xml:space="preserve">Exam angle:</w:t>
      </w:r>
      <w:r>
        <w:t xml:space="preserve"> Relationship between sales process, record type, and stage picklist. Standard vs custom price book.</w:t>
      </w:r>
    </w:p>
    <w:p>
      <w:pPr>
        <w:pStyle w:val="Heading2"/>
      </w:pPr>
      <w:r>
        <w:t xml:space="preserve">S3 — Forecasting</w:t>
      </w:r>
    </w:p>
    <w:p>
      <w:pPr>
        <w:spacing w:after="120"/>
      </w:pPr>
      <w:r>
        <w:rPr>
          <w:b/>
          <w:bCs/>
        </w:rPr>
        <w:t xml:space="preserve">Build:</w:t>
      </w:r>
      <w:r>
        <w:t xml:space="preserve"> enable </w:t>
      </w:r>
      <w:r>
        <w:rPr>
          <w:b/>
          <w:bCs/>
        </w:rPr>
        <w:t xml:space="preserve">Collaborative Forecasts</w:t>
      </w:r>
      <w:r>
        <w:t xml:space="preserve">, forecast type Opportunity Revenue by close date (set Close Date to the expected funding date), forecast hierarchy from roles, adjustments by managers, quotas as funded-volume targets per specialist (import via Data Loader).</w:t>
      </w:r>
    </w:p>
    <w:p>
      <w:pPr>
        <w:pStyle w:val="Heading2"/>
      </w:pPr>
      <w:r>
        <w:t xml:space="preserve">S4 — Campaigns</w:t>
      </w:r>
    </w:p>
    <w:p>
      <w:pPr>
        <w:spacing w:after="120"/>
      </w:pPr>
      <w:r>
        <w:rPr>
          <w:b/>
          <w:bCs/>
        </w:rPr>
        <w:t xml:space="preserve">Build:</w:t>
      </w:r>
      <w:r>
        <w:t xml:space="preserve"> campaign hierarchy (FY27 First-Home Buyer Webinars → Vancouver Webinar), member statuses (Invited, Registered, Attended), add leads/contacts via report, </w:t>
      </w:r>
      <w:r>
        <w:rPr>
          <w:b/>
          <w:bCs/>
        </w:rPr>
        <w:t xml:space="preserve">Campaign Influence</w:t>
      </w:r>
      <w:r>
        <w:t xml:space="preserve"> to deals, campaign ROI fields.</w:t>
      </w:r>
    </w:p>
    <w:p>
      <w:pPr>
        <w:pStyle w:val="Heading2"/>
      </w:pPr>
      <w:r>
        <w:t xml:space="preserve">S5 — Accounts and contacts features</w:t>
      </w:r>
    </w:p>
    <w:p>
      <w:pPr>
        <w:spacing w:after="120"/>
      </w:pPr>
      <w:r>
        <w:rPr>
          <w:b/>
          <w:bCs/>
        </w:rPr>
        <w:t xml:space="preserve">Build:</w:t>
      </w:r>
      <w:r>
        <w:t xml:space="preserve"> Contacts to Multiple Accounts (enable, relate a parent who guarantees a child's mortgage to both households); </w:t>
      </w:r>
      <w:r>
        <w:rPr>
          <w:b/>
          <w:bCs/>
        </w:rPr>
        <w:t xml:space="preserve">Account Hierarchy</w:t>
      </w:r>
      <w:r>
        <w:t xml:space="preserve"> (a brokerage network and its offices, used again in Project 13); in the scratch org, </w:t>
      </w:r>
      <w:r>
        <w:rPr>
          <w:b/>
          <w:bCs/>
        </w:rPr>
        <w:t xml:space="preserve">Person Accounts</w:t>
      </w:r>
      <w:r>
        <w:t xml:space="preserve"> and compare with the Household/Contact model (record in ADR-006 why FSC/Person Accounts change the model).</w:t>
      </w:r>
    </w:p>
    <w:p>
      <w:pPr>
        <w:pBdr>
          <w:bottom w:val="single" w:color="BFBFBF" w:sz="6" w:space="1"/>
        </w:pBdr>
        <w:spacing w:after="120" w:before="120"/>
      </w:pPr>
    </w:p>
    <w:p>
      <w:pPr>
        <w:pStyle w:val="Heading1"/>
      </w:pPr>
      <w:bookmarkStart w:name="s6" w:id="6"/>
      <w:r>
        <w:t xml:space="preserve">6. Service and Support Applications (10%)</w:t>
      </w:r>
      <w:bookmarkEnd w:id="6"/>
    </w:p>
    <w:p>
      <w:pPr>
        <w:pStyle w:val="Heading2"/>
      </w:pPr>
      <w:r>
        <w:t xml:space="preserve">V1 — Queues and assignment</w:t>
      </w:r>
    </w:p>
    <w:p>
      <w:pPr>
        <w:spacing w:after="120"/>
      </w:pPr>
      <w:r>
        <w:t xml:space="preserve">Queues </w:t>
      </w:r>
      <w:r>
        <w:rPr>
          <w:rFonts w:ascii="Consolas" w:cs="Consolas" w:eastAsia="Consolas" w:hAnsi="Consolas"/>
          <w:sz w:val="19"/>
          <w:szCs w:val="19"/>
          <w:shd w:fill="EEF0F3" w:color="auto" w:val="clear"/>
        </w:rPr>
        <w:t xml:space="preserve">Servicing-VAN</w:t>
      </w:r>
      <w:r>
        <w:t xml:space="preserve">, </w:t>
      </w:r>
      <w:r>
        <w:rPr>
          <w:rFonts w:ascii="Consolas" w:cs="Consolas" w:eastAsia="Consolas" w:hAnsi="Consolas"/>
          <w:sz w:val="19"/>
          <w:szCs w:val="19"/>
          <w:shd w:fill="EEF0F3" w:color="auto" w:val="clear"/>
        </w:rPr>
        <w:t xml:space="preserve">Servicing-TOR</w:t>
      </w:r>
      <w:r>
        <w:t xml:space="preserve">, </w:t>
      </w:r>
      <w:r>
        <w:rPr>
          <w:rFonts w:ascii="Consolas" w:cs="Consolas" w:eastAsia="Consolas" w:hAnsi="Consolas"/>
          <w:sz w:val="19"/>
          <w:szCs w:val="19"/>
          <w:shd w:fill="EEF0F3" w:color="auto" w:val="clear"/>
        </w:rPr>
        <w:t xml:space="preserve">Hardship_Team</w:t>
      </w:r>
      <w:r>
        <w:t xml:space="preserve">, </w:t>
      </w:r>
      <w:r>
        <w:rPr>
          <w:rFonts w:ascii="Consolas" w:cs="Consolas" w:eastAsia="Consolas" w:hAnsi="Consolas"/>
          <w:sz w:val="19"/>
          <w:szCs w:val="19"/>
          <w:shd w:fill="EEF0F3" w:color="auto" w:val="clear"/>
        </w:rPr>
        <w:t xml:space="preserve">Servicing_Approvals</w:t>
      </w:r>
      <w:r>
        <w:t xml:space="preserve">, </w:t>
      </w:r>
      <w:r>
        <w:rPr>
          <w:rFonts w:ascii="Consolas" w:cs="Consolas" w:eastAsia="Consolas" w:hAnsi="Consolas"/>
          <w:sz w:val="19"/>
          <w:szCs w:val="19"/>
          <w:shd w:fill="EEF0F3" w:color="auto" w:val="clear"/>
        </w:rPr>
        <w:t xml:space="preserve">Credit_Approvals</w:t>
      </w:r>
      <w:r>
        <w:t xml:space="preserve">; </w:t>
      </w:r>
      <w:r>
        <w:rPr>
          <w:b/>
          <w:bCs/>
        </w:rPr>
        <w:t xml:space="preserve">Case Assignment Rules</w:t>
      </w:r>
      <w:r>
        <w:t xml:space="preserve"> by province and record type (Financial Hardship cases → </w:t>
      </w:r>
      <w:r>
        <w:rPr>
          <w:rFonts w:ascii="Consolas" w:cs="Consolas" w:eastAsia="Consolas" w:hAnsi="Consolas"/>
          <w:sz w:val="19"/>
          <w:szCs w:val="19"/>
          <w:shd w:fill="EEF0F3" w:color="auto" w:val="clear"/>
        </w:rPr>
        <w:t xml:space="preserve">Hardship_Team</w:t>
      </w:r>
      <w:r>
        <w:t xml:space="preserve">, staffed by people trained for the FCAC guideline on mortgages in exceptional circumstances).</w:t>
      </w:r>
    </w:p>
    <w:p>
      <w:pPr>
        <w:pStyle w:val="Heading2"/>
      </w:pPr>
      <w:r>
        <w:t xml:space="preserve">V2 — Channels</w:t>
      </w:r>
    </w:p>
    <w:p>
      <w:pPr>
        <w:spacing w:after="120"/>
      </w:pPr>
      <w:r>
        <w:rPr>
          <w:b/>
          <w:bCs/>
        </w:rPr>
        <w:t xml:space="preserve">Web-to-Case</w:t>
      </w:r>
      <w:r>
        <w:t xml:space="preserve"> (test form), </w:t>
      </w:r>
      <w:r>
        <w:rPr>
          <w:b/>
          <w:bCs/>
        </w:rPr>
        <w:t xml:space="preserve">Email-to-Case</w:t>
      </w:r>
      <w:r>
        <w:t xml:space="preserve"> (On-Demand; forward a test email to the servicing address), auto-response rules with an email template.</w:t>
      </w:r>
    </w:p>
    <w:p>
      <w:pPr>
        <w:pStyle w:val="Heading2"/>
      </w:pPr>
      <w:r>
        <w:t xml:space="preserve">V3 — Escalation and entitlements</w:t>
      </w:r>
    </w:p>
    <w:p>
      <w:pPr>
        <w:spacing w:after="120"/>
      </w:pPr>
      <w:r>
        <w:rPr>
          <w:b/>
          <w:bCs/>
        </w:rPr>
        <w:t xml:space="preserve">Escalation Rules</w:t>
      </w:r>
      <w:r>
        <w:t xml:space="preserve"> (not closed within 8 business hours → escalate to the branch manager, using </w:t>
      </w:r>
      <w:r>
        <w:rPr>
          <w:rFonts w:ascii="Consolas" w:cs="Consolas" w:eastAsia="Consolas" w:hAnsi="Consolas"/>
          <w:sz w:val="19"/>
          <w:szCs w:val="19"/>
          <w:shd w:fill="EEF0F3" w:color="auto" w:val="clear"/>
        </w:rPr>
        <w:t xml:space="preserve">Apex Branch Hours</w:t>
      </w:r>
      <w:r>
        <w:t xml:space="preserve">). </w:t>
      </w:r>
      <w:r>
        <w:rPr>
          <w:b/>
          <w:bCs/>
        </w:rPr>
        <w:t xml:space="preserve">Entitlement Management</w:t>
      </w:r>
      <w:r>
        <w:t xml:space="preserve">: entitlement process "Servicing Standard" with milestones </w:t>
      </w:r>
      <w:r>
        <w:rPr>
          <w:i/>
          <w:iCs/>
        </w:rPr>
        <w:t xml:space="preserve">First Response 4 h</w:t>
      </w:r>
      <w:r>
        <w:t xml:space="preserve">, </w:t>
      </w:r>
      <w:r>
        <w:rPr>
          <w:i/>
          <w:iCs/>
        </w:rPr>
        <w:t xml:space="preserve">Resolution 2 business days</w:t>
      </w:r>
      <w:r>
        <w:t xml:space="preserve">; a stricter process for payout-statement requests (the borrower is usually waiting to close a sale); and a "Complaint" process whose milestones follow Apex's complaint-handling procedure. Milestone actions send warning and violation emails.
</w:t>
      </w:r>
      <w:r>
        <w:rPr>
          <w:b/>
          <w:bCs/>
        </w:rPr>
        <w:t xml:space="preserve">Acceptance:</w:t>
      </w:r>
      <w:r>
        <w:t xml:space="preserve"> a test case breaches a milestone in a shortened test process.</w:t>
      </w:r>
    </w:p>
    <w:p>
      <w:pPr>
        <w:pStyle w:val="Heading2"/>
      </w:pPr>
      <w:r>
        <w:t xml:space="preserve">V4 — Knowledge</w:t>
      </w:r>
    </w:p>
    <w:p>
      <w:pPr>
        <w:spacing w:after="120"/>
      </w:pPr>
      <w:r>
        <w:t xml:space="preserve">Enable </w:t>
      </w:r>
      <w:r>
        <w:rPr>
          <w:b/>
          <w:bCs/>
        </w:rPr>
        <w:t xml:space="preserve">Lightning Knowledge</w:t>
      </w:r>
      <w:r>
        <w:t xml:space="preserve">, article record types (Procedure, FAQ), data categories (Servicing, Lending, Compliance), publishing workflow, article visibility by channel, attach article to case ("How prepayment privileges work", "Changing your payment date"). Link to the policy library you used for grounding in Project 04.</w:t>
      </w:r>
    </w:p>
    <w:p>
      <w:pPr>
        <w:pStyle w:val="Heading2"/>
      </w:pPr>
      <w:r>
        <w:t xml:space="preserve">V5 — Omni-Channel and the Service Console</w:t>
      </w:r>
    </w:p>
    <w:p>
      <w:pPr>
        <w:spacing w:after="120"/>
      </w:pPr>
      <w:r>
        <w:t xml:space="preserve">Service Console app with split view, utility bar (Macros, History); </w:t>
      </w:r>
      <w:r>
        <w:rPr>
          <w:b/>
          <w:bCs/>
        </w:rPr>
        <w:t xml:space="preserve">Omni-Channel</w:t>
      </w:r>
      <w:r>
        <w:t xml:space="preserve">: service channel Case, routing configuration (most available), presence statuses, queue routing. </w:t>
      </w:r>
      <w:r>
        <w:rPr>
          <w:b/>
          <w:bCs/>
        </w:rPr>
        <w:t xml:space="preserve">Macros</w:t>
      </w:r>
      <w:r>
        <w:t xml:space="preserve"> and </w:t>
      </w:r>
      <w:r>
        <w:rPr>
          <w:b/>
          <w:bCs/>
        </w:rPr>
        <w:t xml:space="preserve">Quick Text</w:t>
      </w:r>
      <w:r>
        <w:t xml:space="preserve"> for "Mailing address change received".</w:t>
      </w:r>
    </w:p>
    <w:p>
      <w:pPr>
        <w:pStyle w:val="Heading2"/>
      </w:pPr>
      <w:r>
        <w:t xml:space="preserve">V6 — Case teams, solutions to recurring issues</w:t>
      </w:r>
    </w:p>
    <w:p>
      <w:pPr>
        <w:spacing w:after="120"/>
      </w:pPr>
      <w:r>
        <w:t xml:space="preserve">Case Team roles; </w:t>
      </w:r>
      <w:r>
        <w:rPr>
          <w:b/>
          <w:bCs/>
        </w:rPr>
        <w:t xml:space="preserve">Case Merge</w:t>
      </w:r>
      <w:r>
        <w:t xml:space="preserve">; Feed-based case layout.</w:t>
      </w:r>
    </w:p>
    <w:p>
      <w:pPr>
        <w:pBdr>
          <w:bottom w:val="single" w:color="BFBFBF" w:sz="6" w:space="1"/>
        </w:pBdr>
        <w:spacing w:after="120" w:before="120"/>
      </w:pPr>
    </w:p>
    <w:p>
      <w:pPr>
        <w:pStyle w:val="Heading1"/>
      </w:pPr>
      <w:bookmarkStart w:name="s7" w:id="7"/>
      <w:r>
        <w:t xml:space="preserve">7. Productivity and Collaboration (10%)</w:t>
      </w:r>
      <w:bookmarkEnd w:id="7"/>
    </w:p>
    <w:p>
      <w:pPr>
        <w:pStyle w:val="Heading2"/>
      </w:pPr>
      <w:r>
        <w:t xml:space="preserve">P1 — Activities</w:t>
      </w:r>
    </w:p>
    <w:p>
      <w:pPr>
        <w:spacing w:after="120"/>
      </w:pPr>
      <w:r>
        <w:t xml:space="preserve">Activity settings, task record types (Renewal Call, Document Request), </w:t>
      </w:r>
      <w:r>
        <w:rPr>
          <w:b/>
          <w:bCs/>
        </w:rPr>
        <w:t xml:space="preserve">recurring tasks/events</w:t>
      </w:r>
      <w:r>
        <w:t xml:space="preserve">, shared activities (both co-borrowers on one call), activity timeline, </w:t>
      </w:r>
      <w:r>
        <w:rPr>
          <w:b/>
          <w:bCs/>
        </w:rPr>
        <w:t xml:space="preserve">Kanban</w:t>
      </w:r>
      <w:r>
        <w:t xml:space="preserve"> list views on tasks.</w:t>
      </w:r>
    </w:p>
    <w:p>
      <w:pPr>
        <w:pStyle w:val="Heading2"/>
      </w:pPr>
      <w:r>
        <w:t xml:space="preserve">P2 — Chatter and collaboration</w:t>
      </w:r>
    </w:p>
    <w:p>
      <w:pPr>
        <w:spacing w:after="120"/>
      </w:pPr>
      <w:r>
        <w:t xml:space="preserve">Chatter settings, </w:t>
      </w:r>
      <w:r>
        <w:rPr>
          <w:b/>
          <w:bCs/>
        </w:rPr>
        <w:t xml:space="preserve">feed tracking</w:t>
      </w:r>
      <w:r>
        <w:t xml:space="preserve"> on Loan (Status changes such as Arrears), Chatter groups (Credit Bulletins), @mentions, approvals in Chatter, topics. Slack integration conceptually (Sales Cloud for Slack).</w:t>
      </w:r>
    </w:p>
    <w:p>
      <w:pPr>
        <w:pStyle w:val="Heading2"/>
      </w:pPr>
      <w:r>
        <w:t xml:space="preserve">P3 — Email and templates</w:t>
      </w:r>
    </w:p>
    <w:p>
      <w:pPr>
        <w:spacing w:after="120"/>
      </w:pPr>
      <w:r>
        <w:t xml:space="preserve">Lightning email templates with merge fields + letterhead — including the </w:t>
      </w:r>
      <w:r>
        <w:rPr>
          <w:b/>
          <w:bCs/>
        </w:rPr>
        <w:t xml:space="preserve">Renewal Statement</w:t>
      </w:r>
      <w:r>
        <w:t xml:space="preserve"> template used by F4 — </w:t>
      </w:r>
      <w:r>
        <w:rPr>
          <w:b/>
          <w:bCs/>
        </w:rPr>
        <w:t xml:space="preserve">Email Deliverability</w:t>
      </w:r>
      <w:r>
        <w:t xml:space="preserve"> settings, enhanced email, email relay/compliance BCC (concept), send list emails.</w:t>
      </w:r>
    </w:p>
    <w:p>
      <w:pPr>
        <w:pStyle w:val="Heading2"/>
      </w:pPr>
      <w:r>
        <w:t xml:space="preserve">P4 — Salesforce mobile app</w:t>
      </w:r>
    </w:p>
    <w:p>
      <w:pPr>
        <w:spacing w:after="120"/>
      </w:pPr>
      <w:r>
        <w:t xml:space="preserve">Mobile navigation menu, mobile-only quick actions (Log Renewal Call), compact layouts, </w:t>
      </w:r>
      <w:r>
        <w:rPr>
          <w:b/>
          <w:bCs/>
        </w:rPr>
        <w:t xml:space="preserve">mobile publisher</w:t>
      </w:r>
      <w:r>
        <w:t xml:space="preserve"> concept, offline (Briefcase) concept; test on your phone with Alice.</w:t>
      </w:r>
    </w:p>
    <w:p>
      <w:pPr>
        <w:pStyle w:val="Heading2"/>
      </w:pPr>
      <w:r>
        <w:t xml:space="preserve">P5 — Files, notes, Quip/Canvas concept</w:t>
      </w:r>
    </w:p>
    <w:p>
      <w:pPr>
        <w:spacing w:after="120"/>
      </w:pPr>
      <w:r>
        <w:t xml:space="preserve">Files sharing settings, libraries (commitment-letter templates), file upload limits; Notes; record-level attachments vs Files. Borrower income documents don't belong in Files at all — they go through the scanned upload path in Module 15 EX3.</w:t>
      </w:r>
    </w:p>
    <w:p>
      <w:pPr>
        <w:pBdr>
          <w:bottom w:val="single" w:color="BFBFBF" w:sz="6" w:space="1"/>
        </w:pBdr>
        <w:spacing w:after="120" w:before="120"/>
      </w:pPr>
    </w:p>
    <w:p>
      <w:pPr>
        <w:pStyle w:val="Heading1"/>
      </w:pPr>
      <w:bookmarkStart w:name="s8" w:id="8"/>
      <w:r>
        <w:t xml:space="preserve">8. Data and Analytics Management (17%)</w:t>
      </w:r>
      <w:bookmarkEnd w:id="8"/>
    </w:p>
    <w:p>
      <w:pPr>
        <w:pStyle w:val="Heading2"/>
      </w:pPr>
      <w:r>
        <w:t xml:space="preserve">A1 — Data import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2"/>
        <w:gridCol w:w="3226"/>
        <w:gridCol w:w="3302"/>
      </w:tblGrid>
      <w:tr>
        <w:trPr>
          <w:cantSplit/>
          <w:tblHeader/>
        </w:trPr>
        <w:tc>
          <w:tcPr>
            <w:tcW w:type="dxa" w:w="355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Task</w:t>
            </w:r>
          </w:p>
        </w:tc>
        <w:tc>
          <w:tcPr>
            <w:tcW w:type="dxa" w:w="32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Tool</w:t>
            </w:r>
          </w:p>
        </w:tc>
        <w:tc>
          <w:tcPr>
            <w:tcW w:type="dxa" w:w="33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Insert 500 leads from CSV with duplicate check</w:t>
            </w:r>
          </w:p>
        </w:tc>
        <w:tc>
          <w:tcPr>
            <w:tcW w:type="dxa" w:w="3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Data Import Wizard</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&lt; 50k records, standard objects, dedupe, triggers rules</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Upsert 16k Loans by </w:t>
            </w:r>
            <w:r>
              <w:rPr>
                <w:rFonts w:ascii="Consolas" w:cs="Consolas" w:eastAsia="Consolas" w:hAnsi="Consolas"/>
                <w:b w:val="false"/>
                <w:bCs w:val="false"/>
                <w:sz w:val="16"/>
                <w:szCs w:val="16"/>
                <w:shd w:fill="EEF0F3" w:color="auto" w:val="clear"/>
              </w:rPr>
              <w:t xml:space="preserve">Core_Loan_Id__c</w:t>
            </w:r>
          </w:p>
        </w:tc>
        <w:tc>
          <w:tcPr>
            <w:tcW w:type="dxa" w:w="3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Data Loader</w:t>
            </w:r>
            <w:r>
              <w:rPr>
                <w:b w:val="false"/>
                <w:bCs w:val="false"/>
                <w:sz w:val="17"/>
                <w:szCs w:val="17"/>
              </w:rPr>
              <w:t xml:space="preserve"> (Bulk API on)</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&gt; 50k capable, all objects, upsert by External ID</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Export all contacts nightly</w:t>
            </w:r>
          </w:p>
        </w:tc>
        <w:tc>
          <w:tcPr>
            <w:tcW w:type="dxa" w:w="3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Loader CLI or </w:t>
            </w:r>
            <w:r>
              <w:rPr>
                <w:b/>
                <w:bCs/>
                <w:sz w:val="17"/>
                <w:szCs w:val="17"/>
              </w:rPr>
              <w:t xml:space="preserve">Data Export Service</w:t>
            </w:r>
            <w:r>
              <w:rPr>
                <w:b w:val="false"/>
                <w:bCs w:val="false"/>
                <w:sz w:val="17"/>
                <w:szCs w:val="17"/>
              </w:rPr>
              <w:t xml:space="preserve"> (weekly)</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Scheduled backup</w:t>
            </w:r>
          </w:p>
        </w:tc>
      </w:tr>
      <w:tr>
        <w:trPr>
          <w:cantSplit/>
        </w:trPr>
        <w:tc>
          <w:tcPr>
            <w:tcW w:type="dxa" w:w="3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Hard delete test data</w:t>
            </w:r>
          </w:p>
        </w:tc>
        <w:tc>
          <w:tcPr>
            <w:tcW w:type="dxa" w:w="3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Loader </w:t>
            </w:r>
            <w:r>
              <w:rPr>
                <w:b w:val="false"/>
                <w:bCs w:val="false"/>
                <w:i/>
                <w:iCs/>
                <w:sz w:val="17"/>
                <w:szCs w:val="17"/>
              </w:rPr>
              <w:t xml:space="preserve">Hard Delete</w:t>
            </w:r>
            <w:r>
              <w:rPr>
                <w:b w:val="false"/>
                <w:bCs w:val="false"/>
                <w:sz w:val="17"/>
                <w:szCs w:val="17"/>
              </w:rPr>
              <w:t xml:space="preserve"> (needs "Bulk API Hard Delete")</w:t>
            </w:r>
          </w:p>
        </w:tc>
        <w:tc>
          <w:tcPr>
            <w:tcW w:type="dxa" w:w="33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Bypasses recycle bin</w:t>
            </w:r>
          </w:p>
        </w:tc>
      </w:tr>
    </w:tbl>
    <w:p>
      <w:pPr>
        <w:spacing w:after="120"/>
      </w:pPr>
    </w:p>
    <w:p>
      <w:pPr>
        <w:spacing w:after="120"/>
      </w:pPr>
      <w:r>
        <w:rPr>
          <w:b/>
          <w:bCs/>
        </w:rPr>
        <w:t xml:space="preserve">Build:</w:t>
      </w:r>
      <w:r>
        <w:t xml:space="preserve"> run each; capture success/error CSVs; note the "Use Bulk API" setting effects (no triggers difference? batch size).</w:t>
      </w:r>
    </w:p>
    <w:p>
      <w:pPr>
        <w:pStyle w:val="Heading2"/>
      </w:pPr>
      <w:r>
        <w:t xml:space="preserve">A2 — Data quality</w:t>
      </w:r>
    </w:p>
    <w:p>
      <w:pPr>
        <w:spacing w:after="120"/>
      </w:pPr>
      <w:r>
        <w:rPr>
          <w:b/>
          <w:bCs/>
        </w:rPr>
        <w:t xml:space="preserve">Duplicate Rules + Matching Rules</w:t>
      </w:r>
      <w:r>
        <w:t xml:space="preserve"> on Contact (fuzzy name + exact email) with </w:t>
      </w:r>
      <w:r>
        <w:rPr>
          <w:i/>
          <w:iCs/>
        </w:rPr>
        <w:t xml:space="preserve">Alert</w:t>
      </w:r>
      <w:r>
        <w:t xml:space="preserve"> on create and </w:t>
      </w:r>
      <w:r>
        <w:rPr>
          <w:i/>
          <w:iCs/>
        </w:rPr>
        <w:t xml:space="preserve">Block</w:t>
      </w:r>
      <w:r>
        <w:t xml:space="preserve"> on edit for specialists; </w:t>
      </w:r>
      <w:r>
        <w:rPr>
          <w:b/>
          <w:bCs/>
        </w:rPr>
        <w:t xml:space="preserve">Duplicate Record Sets</w:t>
      </w:r>
      <w:r>
        <w:t xml:space="preserve"> report; merge duplicates (Contacts, Accounts, Leads).
</w:t>
      </w:r>
      <w:r>
        <w:rPr>
          <w:b/>
          <w:bCs/>
        </w:rPr>
        <w:t xml:space="preserve">Exam angle:</w:t>
      </w:r>
      <w:r>
        <w:t xml:space="preserve"> Max records per merge; which record's values survive; what happens to related records.</w:t>
      </w:r>
    </w:p>
    <w:p>
      <w:pPr>
        <w:pStyle w:val="Heading2"/>
      </w:pPr>
      <w:r>
        <w:t xml:space="preserve">A3 — Data management operations</w:t>
      </w:r>
    </w:p>
    <w:p>
      <w:pPr>
        <w:spacing w:after="120"/>
      </w:pPr>
      <w:r>
        <w:t xml:space="preserve">Mass Transfer Records (a departing specialist's deals), Mass Delete, Recycle Bin (15-day retention, storage counting), Storage Usage page; field history retention; </w:t>
      </w:r>
      <w:r>
        <w:rPr>
          <w:b/>
          <w:bCs/>
        </w:rPr>
        <w:t xml:space="preserve">Big Objects</w:t>
      </w:r>
      <w:r>
        <w:t xml:space="preserve"> concept for archival (Module 14 builds one for balance history).</w:t>
      </w:r>
    </w:p>
    <w:p>
      <w:pPr>
        <w:pStyle w:val="Heading2"/>
      </w:pPr>
      <w:r>
        <w:t xml:space="preserve">A4 — Reports</w:t>
      </w:r>
    </w:p>
    <w:p>
      <w:pPr>
        <w:spacing w:after="120"/>
      </w:pPr>
      <w:r>
        <w:t xml:space="preserve">Build in folder </w:t>
      </w:r>
      <w:r>
        <w:rPr>
          <w:rFonts w:ascii="Consolas" w:cs="Consolas" w:eastAsia="Consolas" w:hAnsi="Consolas"/>
          <w:sz w:val="19"/>
          <w:szCs w:val="19"/>
          <w:shd w:fill="EEF0F3" w:color="auto" w:val="clear"/>
        </w:rPr>
        <w:t xml:space="preserve">Apex Lending Reports</w:t>
      </w:r>
      <w:r>
        <w:t xml:space="preserve"> shared to roles:</w:t>
      </w:r>
    </w:p>
    <w:p>
      <w:pPr>
        <w:pStyle w:val="ListParagraph"/>
        <w:numPr>
          <w:ilvl w:val="0"/>
          <w:numId w:val="4"/>
        </w:numPr>
        <w:spacing w:after="60"/>
      </w:pPr>
      <w:r>
        <w:rPr>
          <w:b/>
          <w:bCs/>
        </w:rPr>
        <w:t xml:space="preserve">Summary</w:t>
      </w:r>
      <w:r>
        <w:t xml:space="preserve"> report: Loans by Product with SUM Principal Balance, </w:t>
      </w:r>
      <w:r>
        <w:rPr>
          <w:b/>
          <w:bCs/>
        </w:rPr>
        <w:t xml:space="preserve">bucket field</w:t>
      </w:r>
      <w:r>
        <w:t xml:space="preserve"> balance bands (&lt;250k, 250k–750k, &gt;750k).</w:t>
      </w:r>
    </w:p>
    <w:p>
      <w:pPr>
        <w:pStyle w:val="ListParagraph"/>
        <w:numPr>
          <w:ilvl w:val="0"/>
          <w:numId w:val="4"/>
        </w:numPr>
        <w:spacing w:after="60"/>
      </w:pPr>
      <w:r>
        <w:rPr>
          <w:b/>
          <w:bCs/>
        </w:rPr>
        <w:t xml:space="preserve">Matrix</w:t>
      </w:r>
      <w:r>
        <w:t xml:space="preserve">: Deals by Branch × Stage with row/column grand totals.</w:t>
      </w:r>
    </w:p>
    <w:p>
      <w:pPr>
        <w:pStyle w:val="ListParagraph"/>
        <w:numPr>
          <w:ilvl w:val="0"/>
          <w:numId w:val="4"/>
        </w:numPr>
        <w:spacing w:after="60"/>
      </w:pPr>
      <w:r>
        <w:rPr>
          <w:b/>
          <w:bCs/>
        </w:rPr>
        <w:t xml:space="preserve">Joined</w:t>
      </w:r>
      <w:r>
        <w:t xml:space="preserve"> report: Opportunities and Cases per Household.</w:t>
      </w:r>
    </w:p>
    <w:p>
      <w:pPr>
        <w:pStyle w:val="ListParagraph"/>
        <w:numPr>
          <w:ilvl w:val="0"/>
          <w:numId w:val="4"/>
        </w:numPr>
        <w:spacing w:after="60"/>
      </w:pPr>
      <w:r>
        <w:rPr>
          <w:b/>
          <w:bCs/>
        </w:rPr>
        <w:t xml:space="preserve">Custom Report Type</w:t>
      </w:r>
      <w:r>
        <w:t xml:space="preserve"> "Households with or without Loans" (A with or without B) → use a </w:t>
      </w:r>
      <w:r>
        <w:rPr>
          <w:b/>
          <w:bCs/>
        </w:rPr>
        <w:t xml:space="preserve">cross filter</w:t>
      </w:r>
      <w:r>
        <w:t xml:space="preserve"> to find households </w:t>
      </w:r>
      <w:r>
        <w:rPr>
          <w:i/>
          <w:iCs/>
        </w:rPr>
        <w:t xml:space="preserve">without</w:t>
      </w:r>
      <w:r>
        <w:t xml:space="preserve"> loans (prospects).</w:t>
      </w:r>
    </w:p>
    <w:p>
      <w:pPr>
        <w:pStyle w:val="ListParagraph"/>
        <w:numPr>
          <w:ilvl w:val="0"/>
          <w:numId w:val="4"/>
        </w:numPr>
        <w:spacing w:after="60"/>
      </w:pPr>
      <w:r>
        <w:rPr>
          <w:b/>
          <w:bCs/>
        </w:rPr>
        <w:t xml:space="preserve">Row-level formula</w:t>
      </w:r>
      <w:r>
        <w:t xml:space="preserve"> (days to maturity) and </w:t>
      </w:r>
      <w:r>
        <w:rPr>
          <w:b/>
          <w:bCs/>
        </w:rPr>
        <w:t xml:space="preserve">summary formula</w:t>
      </w:r>
      <w:r>
        <w:t xml:space="preserve"> (% of balance by product).</w:t>
      </w:r>
    </w:p>
    <w:p>
      <w:pPr>
        <w:pStyle w:val="ListParagraph"/>
        <w:numPr>
          <w:ilvl w:val="0"/>
          <w:numId w:val="4"/>
        </w:numPr>
        <w:spacing w:after="60"/>
      </w:pPr>
      <w:r>
        <w:rPr>
          <w:b/>
          <w:bCs/>
        </w:rPr>
        <w:t xml:space="preserve">Report subscription</w:t>
      </w:r>
      <w:r>
        <w:t xml:space="preserve"> weekly to the Branch Manager; conditional subscription (any loan more than 30 days in arrears).
</w:t>
      </w:r>
      <w:r>
        <w:rPr>
          <w:b/>
          <w:bCs/>
        </w:rPr>
        <w:t xml:space="preserve">Exam angle:</w:t>
      </w:r>
      <w:r>
        <w:t xml:space="preserve"> Which report format supports charts with grouping? Why does a user not see records in a report they can run? (sharing + folder access + FLS).</w:t>
      </w:r>
    </w:p>
    <w:p>
      <w:pPr>
        <w:pStyle w:val="Heading2"/>
      </w:pPr>
      <w:r>
        <w:t xml:space="preserve">A5 — Dashboards</w:t>
      </w:r>
    </w:p>
    <w:p>
      <w:pPr>
        <w:spacing w:after="120"/>
      </w:pPr>
      <w:r>
        <w:rPr>
          <w:rFonts w:ascii="Consolas" w:cs="Consolas" w:eastAsia="Consolas" w:hAnsi="Consolas"/>
          <w:sz w:val="19"/>
          <w:szCs w:val="19"/>
          <w:shd w:fill="EEF0F3" w:color="auto" w:val="clear"/>
        </w:rPr>
        <w:t xml:space="preserve">Branch Pipeline</w:t>
      </w:r>
      <w:r>
        <w:t xml:space="preserve"> dashboard: gauge (funded volume vs target), donut (balance by product), table (loans maturing in the next 120 days), metric (deals with conditions past due); dashboard filter by Branch; </w:t>
      </w:r>
      <w:r>
        <w:rPr>
          <w:b/>
          <w:bCs/>
        </w:rPr>
        <w:t xml:space="preserve">dynamic dashboard</w:t>
      </w:r>
      <w:r>
        <w:t xml:space="preserve"> running as logged-in user (limited count in Developer Edition ⚠); dashboard subscription. Add an </w:t>
      </w:r>
      <w:r>
        <w:rPr>
          <w:b/>
          <w:bCs/>
        </w:rPr>
        <w:t xml:space="preserve">LTI watch</w:t>
      </w:r>
      <w:r>
        <w:t xml:space="preserve"> chart for Credit Risk: the share of this quarter's new uninsured deals with LTI above 4.5. OSFI's limit applies to the portfolio, so this chart is how it's managed — not a rule on any single deal.</w:t>
      </w:r>
    </w:p>
    <w:p>
      <w:pPr>
        <w:pStyle w:val="Heading2"/>
      </w:pPr>
      <w:r>
        <w:t xml:space="preserve">A6 — Reporting snapshots and analytics features</w:t>
      </w:r>
    </w:p>
    <w:p>
      <w:pPr>
        <w:spacing w:after="120"/>
      </w:pPr>
      <w:r>
        <w:rPr>
          <w:b/>
          <w:bCs/>
        </w:rPr>
        <w:t xml:space="preserve">Reporting Snapshot</w:t>
      </w:r>
      <w:r>
        <w:t xml:space="preserve"> capturing deals by stage daily into </w:t>
      </w:r>
      <w:r>
        <w:rPr>
          <w:rFonts w:ascii="Consolas" w:cs="Consolas" w:eastAsia="Consolas" w:hAnsi="Consolas"/>
          <w:sz w:val="19"/>
          <w:szCs w:val="19"/>
          <w:shd w:fill="EEF0F3" w:color="auto" w:val="clear"/>
        </w:rPr>
        <w:t xml:space="preserve">Pipeline_History__c</w:t>
      </w:r>
      <w:r>
        <w:t xml:space="preserve">; historical trend reporting on Opportunities; CRM Analytics/Tableau positioning (concept, ADR note).</w:t>
      </w:r>
    </w:p>
    <w:p>
      <w:pPr>
        <w:pBdr>
          <w:bottom w:val="single" w:color="BFBFBF" w:sz="6" w:space="1"/>
        </w:pBdr>
        <w:spacing w:after="120" w:before="120"/>
      </w:pPr>
    </w:p>
    <w:p>
      <w:pPr>
        <w:pStyle w:val="Heading1"/>
      </w:pPr>
      <w:bookmarkStart w:name="s9" w:id="9"/>
      <w:r>
        <w:t xml:space="preserve">9. Automation (15%)</w:t>
      </w:r>
      <w:bookmarkEnd w:id="9"/>
    </w:p>
    <w:p>
      <w:pPr>
        <w:pStyle w:val="Heading2"/>
      </w:pPr>
      <w:r>
        <w:t xml:space="preserve">F1 — Choose the right tool (write this table yourself, then compare)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3"/>
        <w:gridCol w:w="5577"/>
      </w:tblGrid>
      <w:tr>
        <w:trPr>
          <w:cantSplit/>
          <w:tblHeader/>
        </w:trPr>
        <w:tc>
          <w:tcPr>
            <w:tcW w:type="dxa" w:w="45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Requirement</w:t>
            </w:r>
          </w:p>
        </w:tc>
        <w:tc>
          <w:tcPr>
            <w:tcW w:type="dxa" w:w="55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Tool</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Same-record field update on save</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Before-save record-triggered flow</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 related record / send email / callout after save</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After-save record-triggered flow (async path for callouts)</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Guided user process with screens</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Screen flow</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Nightly batch</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Schedule-triggered flow</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Regulatory deadline (renewal statement ≥ 21 days before maturity)</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Schedule-triggered flow + exception report — never an agent or an analytics pipeline</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Reusable logic</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Autolaunched subflow</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React to Platform Event</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Platform event–triggered flow</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Multi-step approval</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 process / flow approvals</w:t>
            </w:r>
          </w:p>
        </w:tc>
      </w:tr>
      <w:tr>
        <w:trPr>
          <w:cantSplit/>
        </w:trPr>
        <w:tc>
          <w:tcPr>
            <w:tcW w:type="dxa" w:w="4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Complex logic, high volume, precise transaction control</w:t>
            </w:r>
          </w:p>
        </w:tc>
        <w:tc>
          <w:tcPr>
            <w:tcW w:type="dxa" w:w="5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w:t>
            </w:r>
          </w:p>
        </w:tc>
      </w:tr>
    </w:tbl>
    <w:p>
      <w:pPr>
        <w:spacing w:after="120"/>
      </w:pPr>
    </w:p>
    <w:p>
      <w:pPr>
        <w:pStyle w:val="Heading2"/>
      </w:pPr>
      <w:r>
        <w:t xml:space="preserve">F2 — Screen flow: Address Change Intake</w:t>
      </w:r>
    </w:p>
    <w:p>
      <w:pPr>
        <w:spacing w:after="120"/>
      </w:pPr>
      <w:r>
        <w:t xml:space="preserve">Screen flow launched from the Contact page (Dynamic Action): screens for the new mailing address (with postal code validation), evidence upload (File Upload component), confirmation; creates </w:t>
      </w:r>
      <w:r>
        <w:rPr>
          <w:rFonts w:ascii="Consolas" w:cs="Consolas" w:eastAsia="Consolas" w:hAnsi="Consolas"/>
          <w:sz w:val="19"/>
          <w:szCs w:val="19"/>
          <w:shd w:fill="EEF0F3" w:color="auto" w:val="clear"/>
        </w:rPr>
        <w:t xml:space="preserve">Approval_Request__c</w:t>
      </w:r>
      <w:r>
        <w:t xml:space="preserve"> (</w:t>
      </w:r>
      <w:r>
        <w:rPr>
          <w:rFonts w:ascii="Consolas" w:cs="Consolas" w:eastAsia="Consolas" w:hAnsi="Consolas"/>
          <w:sz w:val="19"/>
          <w:szCs w:val="19"/>
          <w:shd w:fill="EEF0F3" w:color="auto" w:val="clear"/>
        </w:rPr>
        <w:t xml:space="preserve">ADDRESS_CHANGE</w:t>
      </w:r>
      <w:r>
        <w:t xml:space="preserve">, Pending) — the same object the agent uses in Project 07. </w:t>
      </w:r>
      <w:r>
        <w:rPr>
          <w:b/>
          <w:bCs/>
        </w:rPr>
        <w:t xml:space="preserve">Fault path</w:t>
      </w:r>
      <w:r>
        <w:t xml:space="preserve"> shows a friendly error and logs to </w:t>
      </w:r>
      <w:r>
        <w:rPr>
          <w:rFonts w:ascii="Consolas" w:cs="Consolas" w:eastAsia="Consolas" w:hAnsi="Consolas"/>
          <w:sz w:val="19"/>
          <w:szCs w:val="19"/>
          <w:shd w:fill="EEF0F3" w:color="auto" w:val="clear"/>
        </w:rPr>
        <w:t xml:space="preserve">Integration_Log__c</w:t>
      </w:r>
      <w:r>
        <w:t xml:space="preserve">.</w:t>
      </w:r>
    </w:p>
    <w:p>
      <w:pPr>
        <w:pStyle w:val="Heading2"/>
      </w:pPr>
      <w:r>
        <w:t xml:space="preserve">F3 — Record-triggered flows</w:t>
      </w:r>
    </w:p>
    <w:p>
      <w:pPr>
        <w:spacing w:after="120"/>
      </w:pPr>
      <w:r>
        <w:t xml:space="preserve">Before-save: normalize postal code to uppercase. After-save: when a deal moves to </w:t>
      </w:r>
      <w:r>
        <w:rPr>
          <w:i/>
          <w:iCs/>
        </w:rPr>
        <w:t xml:space="preserve">Commitment Issued</w:t>
      </w:r>
      <w:r>
        <w:t xml:space="preserve">, create its standard conditions from custom metadata </w:t>
      </w:r>
      <w:r>
        <w:rPr>
          <w:rFonts w:ascii="Consolas" w:cs="Consolas" w:eastAsia="Consolas" w:hAnsi="Consolas"/>
          <w:sz w:val="19"/>
          <w:szCs w:val="19"/>
          <w:shd w:fill="EEF0F3" w:color="auto" w:val="clear"/>
        </w:rPr>
        <w:t xml:space="preserve">Condition_Template__mdt</w:t>
      </w:r>
      <w:r>
        <w:t xml:space="preserve"> (by record type and insured flag — e.g. insured deals get </w:t>
      </w:r>
      <w:r>
        <w:rPr>
          <w:i/>
          <w:iCs/>
        </w:rPr>
        <w:t xml:space="preserve">Insurer approval</w:t>
      </w:r>
      <w:r>
        <w:t xml:space="preserve">, purchases get </w:t>
      </w:r>
      <w:r>
        <w:rPr>
          <w:i/>
          <w:iCs/>
        </w:rPr>
        <w:t xml:space="preserve">Down payment proof</w:t>
      </w:r>
      <w:r>
        <w:t xml:space="preserve"> and </w:t>
      </w:r>
      <w:r>
        <w:rPr>
          <w:i/>
          <w:iCs/>
        </w:rPr>
        <w:t xml:space="preserve">Signed commitment</w:t>
      </w:r>
      <w:r>
        <w:t xml:space="preserve">) plus tasks for the specialist. Use </w:t>
      </w:r>
      <w:r>
        <w:rPr>
          <w:b/>
          <w:bCs/>
        </w:rPr>
        <w:t xml:space="preserve">entry conditions</w:t>
      </w:r>
      <w:r>
        <w:t xml:space="preserve">, </w:t>
      </w:r>
      <w:r>
        <w:rPr>
          <w:b/>
          <w:bCs/>
        </w:rPr>
        <w:t xml:space="preserve">$Record__Prior</w:t>
      </w:r>
      <w:r>
        <w:t xml:space="preserve">, </w:t>
      </w:r>
      <w:r>
        <w:rPr>
          <w:b/>
          <w:bCs/>
        </w:rPr>
        <w:t xml:space="preserve">run only when record is updated to meet conditions</w:t>
      </w:r>
      <w:r>
        <w:t xml:space="preserve">. Inspect </w:t>
      </w:r>
      <w:r>
        <w:rPr>
          <w:b/>
          <w:bCs/>
        </w:rPr>
        <w:t xml:space="preserve">Flow Trigger Explorer</w:t>
      </w:r>
      <w:r>
        <w:t xml:space="preserve"> for ordering.</w:t>
      </w:r>
    </w:p>
    <w:p>
      <w:pPr>
        <w:pStyle w:val="Heading2"/>
      </w:pPr>
      <w:r>
        <w:t xml:space="preserve">F4 — Scheduled flows and subflows</w:t>
      </w:r>
    </w:p>
    <w:p>
      <w:pPr>
        <w:pStyle w:val="ListParagraph"/>
        <w:numPr>
          <w:ilvl w:val="0"/>
          <w:numId w:val="5"/>
        </w:numPr>
        <w:spacing w:after="60"/>
      </w:pPr>
      <w:r>
        <w:t xml:space="preserve">Daily 06:00: Approval Requests past </w:t>
      </w:r>
      <w:r>
        <w:rPr>
          <w:rFonts w:ascii="Consolas" w:cs="Consolas" w:eastAsia="Consolas" w:hAnsi="Consolas"/>
          <w:sz w:val="19"/>
          <w:szCs w:val="19"/>
          <w:shd w:fill="EEF0F3" w:color="auto" w:val="clear"/>
        </w:rPr>
        <w:t xml:space="preserve">Expires_At__c</w:t>
      </w:r>
      <w:r>
        <w:t xml:space="preserve"> → Expired.</w:t>
      </w:r>
    </w:p>
    <w:p>
      <w:pPr>
        <w:pStyle w:val="ListParagraph"/>
        <w:numPr>
          <w:ilvl w:val="0"/>
          <w:numId w:val="5"/>
        </w:numPr>
        <w:spacing w:after="60"/>
      </w:pPr>
      <w:r>
        <w:rPr>
          <w:b/>
          <w:bCs/>
        </w:rPr>
        <w:t xml:space="preserve">Renewal statement (FCAC):</w:t>
      </w:r>
      <w:r>
        <w:t xml:space="preserve"> daily, loans with </w:t>
      </w:r>
      <w:r>
        <w:rPr>
          <w:rFonts w:ascii="Consolas" w:cs="Consolas" w:eastAsia="Consolas" w:hAnsi="Consolas"/>
          <w:sz w:val="19"/>
          <w:szCs w:val="19"/>
          <w:shd w:fill="EEF0F3" w:color="auto" w:val="clear"/>
        </w:rPr>
        <w:t xml:space="preserve">Maturity_Date__c = TODAY + 45</w:t>
      </w:r>
      <w:r>
        <w:t xml:space="preserve"> and no </w:t>
      </w:r>
      <w:r>
        <w:rPr>
          <w:rFonts w:ascii="Consolas" w:cs="Consolas" w:eastAsia="Consolas" w:hAnsi="Consolas"/>
          <w:sz w:val="19"/>
          <w:szCs w:val="19"/>
          <w:shd w:fill="EEF0F3" w:color="auto" w:val="clear"/>
        </w:rPr>
        <w:t xml:space="preserve">Renewal_Statement_Sent__c</w:t>
      </w:r>
      <w:r>
        <w:t xml:space="preserve"> → send the Renewal Statement template (P3) to every borrower on the loan, stamp the date, log a task. Build the </w:t>
      </w:r>
      <w:r>
        <w:rPr>
          <w:b/>
          <w:bCs/>
        </w:rPr>
        <w:t xml:space="preserve">exception report</w:t>
      </w:r>
      <w:r>
        <w:t xml:space="preserve"> too: active loans maturing within 21 days with no statement sent. It must always be empty; subscribe Credit Risk to it.</w:t>
      </w:r>
    </w:p>
    <w:p>
      <w:pPr>
        <w:pStyle w:val="ListParagraph"/>
        <w:numPr>
          <w:ilvl w:val="0"/>
          <w:numId w:val="5"/>
        </w:numPr>
        <w:spacing w:after="60"/>
      </w:pPr>
      <w:r>
        <w:t xml:space="preserve">Rate holds: daily, deals with </w:t>
      </w:r>
      <w:r>
        <w:rPr>
          <w:rFonts w:ascii="Consolas" w:cs="Consolas" w:eastAsia="Consolas" w:hAnsi="Consolas"/>
          <w:sz w:val="19"/>
          <w:szCs w:val="19"/>
          <w:shd w:fill="EEF0F3" w:color="auto" w:val="clear"/>
        </w:rPr>
        <w:t xml:space="preserve">Rate_Hold_Expiry__c = TODAY + 7</w:t>
      </w:r>
      <w:r>
        <w:t xml:space="preserve"> → task for the specialist.</w:t>
      </w:r>
    </w:p>
    <w:p>
      <w:pPr>
        <w:pStyle w:val="ListParagraph"/>
        <w:numPr>
          <w:ilvl w:val="0"/>
          <w:numId w:val="5"/>
        </w:numPr>
        <w:spacing w:after="60"/>
      </w:pPr>
      <w:r>
        <w:t xml:space="preserve">Subflow </w:t>
      </w:r>
      <w:r>
        <w:rPr>
          <w:rFonts w:ascii="Consolas" w:cs="Consolas" w:eastAsia="Consolas" w:hAnsi="Consolas"/>
          <w:sz w:val="19"/>
          <w:szCs w:val="19"/>
          <w:shd w:fill="EEF0F3" w:color="auto" w:val="clear"/>
        </w:rPr>
        <w:t xml:space="preserve">Notify Specialist</w:t>
      </w:r>
      <w:r>
        <w:t xml:space="preserve"> reused by three flows.</w:t>
      </w:r>
    </w:p>
    <w:p>
      <w:pPr>
        <w:pStyle w:val="Heading2"/>
      </w:pPr>
      <w:r>
        <w:t xml:space="preserve">F5 — Debugging and testing flows</w:t>
      </w:r>
    </w:p>
    <w:p>
      <w:pPr>
        <w:spacing w:after="120"/>
      </w:pPr>
      <w:r>
        <w:t xml:space="preserve">Use </w:t>
      </w:r>
      <w:r>
        <w:rPr>
          <w:b/>
          <w:bCs/>
        </w:rPr>
        <w:t xml:space="preserve">Debug</w:t>
      </w:r>
      <w:r>
        <w:t xml:space="preserve"> with rollback mode, debug as another user, </w:t>
      </w:r>
      <w:r>
        <w:rPr>
          <w:b/>
          <w:bCs/>
        </w:rPr>
        <w:t xml:space="preserve">Flow tests</w:t>
      </w:r>
      <w:r>
        <w:t xml:space="preserve"> (Flow Builder test cases for record-triggered flows — write one for the renewal-statement flow's boundary dates), fault email settings, paused/failed flow interviews page.</w:t>
      </w:r>
    </w:p>
    <w:p>
      <w:pPr>
        <w:pStyle w:val="Heading2"/>
      </w:pPr>
      <w:r>
        <w:t xml:space="preserve">F6 — Approval processes</w:t>
      </w:r>
    </w:p>
    <w:p>
      <w:pPr>
        <w:spacing w:after="120"/>
      </w:pPr>
      <w:r>
        <w:t xml:space="preserve">Address Change and Condition Waiver approvals (Project 07) + a </w:t>
      </w:r>
      <w:r>
        <w:rPr>
          <w:b/>
          <w:bCs/>
        </w:rPr>
        <w:t xml:space="preserve">Rate Exception</w:t>
      </w:r>
      <w:r>
        <w:t xml:space="preserve"> approval with two steps (Branch Manager, then Credit when the rate is more than 25 bps below the rate sheet), delegated approvers, recall, approval history related list, email approvals.</w:t>
      </w:r>
    </w:p>
    <w:p>
      <w:pPr>
        <w:pStyle w:val="Heading2"/>
      </w:pPr>
      <w:r>
        <w:t xml:space="preserve">F7 — Order of execution and migration</w:t>
      </w:r>
    </w:p>
    <w:p>
      <w:pPr>
        <w:spacing w:after="120"/>
      </w:pPr>
      <w:r>
        <w:t xml:space="preserve">Draw the simplified </w:t>
      </w:r>
      <w:r>
        <w:rPr>
          <w:b/>
          <w:bCs/>
        </w:rPr>
        <w:t xml:space="preserve">order of execution</w:t>
      </w:r>
      <w:r>
        <w:t xml:space="preserve"> (system validation → before-save flows → before triggers → validation rules → duplicate rules → save → after triggers → assignment/auto-response/escalation → after-save flows → entitlement → roll-ups → commit → post-commit). Run </w:t>
      </w:r>
      <w:r>
        <w:rPr>
          <w:b/>
          <w:bCs/>
        </w:rPr>
        <w:t xml:space="preserve">Migrate to Flow</w:t>
      </w:r>
      <w:r>
        <w:t xml:space="preserve"> on a sample workflow rule (if available in your org) and explain why Workflow Rules/Process Builder are retired.</w:t>
      </w:r>
    </w:p>
    <w:p>
      <w:pPr>
        <w:pBdr>
          <w:bottom w:val="single" w:color="BFBFBF" w:sz="6" w:space="1"/>
        </w:pBdr>
        <w:spacing w:after="120" w:before="120"/>
      </w:pPr>
    </w:p>
    <w:p>
      <w:pPr>
        <w:pStyle w:val="Heading1"/>
      </w:pPr>
      <w:bookmarkStart w:name="s10" w:id="10"/>
      <w:r>
        <w:t xml:space="preserve">10. Agentforce (8%)</w:t>
      </w:r>
      <w:bookmarkEnd w:id="10"/>
    </w:p>
    <w:p>
      <w:pPr>
        <w:pStyle w:val="Heading2"/>
      </w:pPr>
      <w:r>
        <w:t xml:space="preserve">G1 — When AI is appropriate</w:t>
      </w:r>
    </w:p>
    <w:p>
      <w:pPr>
        <w:spacing w:after="120"/>
      </w:pPr>
      <w:r>
        <w:t xml:space="preserve">Write </w:t>
      </w:r>
      <w:r>
        <w:rPr>
          <w:rFonts w:ascii="Consolas" w:cs="Consolas" w:eastAsia="Consolas" w:hAnsi="Consolas"/>
          <w:sz w:val="19"/>
          <w:szCs w:val="19"/>
          <w:shd w:fill="EEF0F3" w:color="auto" w:val="clear"/>
        </w:rPr>
        <w:t xml:space="preserve">08-admin/agentforce-use-cases.md</w:t>
      </w:r>
      <w:r>
        <w:t xml:space="preserve">: three Apex requests where an agent helps (deal briefs, condition questions, policy Q&amp;A), three where Flow is better (renewal statements, standard conditions, rate-hold reminders), and the ones neither may decide (credit decisions, pricing, funding) — use the earn-the-agent ladder from Project 05.</w:t>
      </w:r>
    </w:p>
    <w:p>
      <w:pPr>
        <w:pStyle w:val="Heading2"/>
      </w:pPr>
      <w:r>
        <w:t xml:space="preserve">G2 — Set up and secure</w:t>
      </w:r>
    </w:p>
    <w:p>
      <w:pPr>
        <w:spacing w:after="120"/>
      </w:pPr>
      <w:r>
        <w:t xml:space="preserve">Enable Einstein / Agentforce (Setup → Einstein Setup; Agentforce Agents), review </w:t>
      </w:r>
      <w:r>
        <w:rPr>
          <w:b/>
          <w:bCs/>
        </w:rPr>
        <w:t xml:space="preserve">Einstein Trust Layer</w:t>
      </w:r>
      <w:r>
        <w:t xml:space="preserve"> settings (data masking, audit — note that Salesforce turned data masking off for Agentforce agents in 2024; it still applies to Prompt Builder templates and some generative features), create the employee agent (Project 07) with standard topics, assign agent permission sets, </w:t>
      </w:r>
      <w:r>
        <w:rPr>
          <w:b/>
          <w:bCs/>
        </w:rPr>
        <w:t xml:space="preserve">troubleshoot permissions</w:t>
      </w:r>
      <w:r>
        <w:t xml:space="preserve">: remove </w:t>
      </w:r>
      <w:r>
        <w:rPr>
          <w:rFonts w:ascii="Consolas" w:cs="Consolas" w:eastAsia="Consolas" w:hAnsi="Consolas"/>
          <w:sz w:val="19"/>
          <w:szCs w:val="19"/>
          <w:shd w:fill="EEF0F3" w:color="auto" w:val="clear"/>
        </w:rPr>
        <w:t xml:space="preserve">PS_Agent_Mule_Callout</w:t>
      </w:r>
      <w:r>
        <w:t xml:space="preserve"> from Alice and observe the failure; fix.</w:t>
      </w:r>
    </w:p>
    <w:p>
      <w:pPr>
        <w:pStyle w:val="Heading2"/>
      </w:pPr>
      <w:r>
        <w:t xml:space="preserve">G3 — Prompts and instructions</w:t>
      </w:r>
    </w:p>
    <w:p>
      <w:pPr>
        <w:spacing w:after="120"/>
      </w:pPr>
      <w:r>
        <w:t xml:space="preserve">Prompt Builder: a </w:t>
      </w:r>
      <w:r>
        <w:rPr>
          <w:b/>
          <w:bCs/>
        </w:rPr>
        <w:t xml:space="preserve">Field Generation</w:t>
      </w:r>
      <w:r>
        <w:t xml:space="preserve"> template "Deal Summary" on Opportunity grounded in record fields + related conditions and incomes (it summarizes; it never states whether the borrower qualifies); a </w:t>
      </w:r>
      <w:r>
        <w:rPr>
          <w:b/>
          <w:bCs/>
        </w:rPr>
        <w:t xml:space="preserve">Sales Email</w:t>
      </w:r>
      <w:r>
        <w:t xml:space="preserve"> template for webinar invitations. Edit topic instructions in Agentforce Builder (where topics are now called </w:t>
      </w:r>
      <w:r>
        <w:rPr>
          <w:b/>
          <w:bCs/>
        </w:rPr>
        <w:t xml:space="preserve">subagents</w:t>
      </w:r>
      <w:r>
        <w:t xml:space="preserve">, authored in Agent Script) and compare behaviour in </w:t>
      </w:r>
      <w:r>
        <w:rPr>
          <w:b/>
          <w:bCs/>
        </w:rPr>
        <w:t xml:space="preserve">conversation preview</w:t>
      </w:r>
      <w:r>
        <w:t xml:space="preserve">.</w:t>
      </w:r>
    </w:p>
    <w:p>
      <w:pPr>
        <w:pStyle w:val="Heading2"/>
      </w:pPr>
      <w:r>
        <w:t xml:space="preserve">G4 — Light testing</w:t>
      </w:r>
    </w:p>
    <w:p>
      <w:pPr>
        <w:spacing w:after="120"/>
      </w:pPr>
      <w:r>
        <w:t xml:space="preserve">Agentforce Testing Center or preview: 20 utterances with expected topic/action; record pass rate; adjust classification descriptions.</w:t>
      </w:r>
    </w:p>
    <w:p>
      <w:pPr>
        <w:pBdr>
          <w:bottom w:val="single" w:color="BFBFBF" w:sz="6" w:space="1"/>
        </w:pBdr>
        <w:spacing w:after="120" w:before="120"/>
      </w:pPr>
    </w:p>
    <w:p>
      <w:pPr>
        <w:pStyle w:val="Heading1"/>
      </w:pPr>
      <w:bookmarkStart w:name="s11" w:id="11"/>
      <w:r>
        <w:t xml:space="preserve">11. Salesforce Well-Architected tie-in</w:t>
      </w:r>
      <w:bookmarkEnd w:id="11"/>
    </w:p>
    <w:p>
      <w:pPr>
        <w:spacing w:after="120"/>
      </w:pPr>
      <w:r>
        <w:t xml:space="preserve">Salesforce published a new Well-Architected Framework on </w:t>
      </w:r>
      <w:r>
        <w:rPr>
          <w:b/>
          <w:bCs/>
        </w:rPr>
        <w:t xml:space="preserve">September 14, 2026</w:t>
      </w:r>
      <w:r>
        <w:t xml:space="preserve"> with five pillars — </w:t>
      </w:r>
      <w:r>
        <w:rPr>
          <w:b/>
          <w:bCs/>
        </w:rPr>
        <w:t xml:space="preserve">Trust, Reliability, Operational Excellence, Resource and Cost Optimization, Fairness</w:t>
      </w:r>
      <w:r>
        <w:t xml:space="preserve"> — each with an Agentic Enterprise lens. Older study material still uses Trusted / Easy / Adaptable. For every admin lab, tag the evidence with the pillar it supports (e.g., C3 → Trust, F4 → Reliability, F5 → Operational Excellence, A2 → Reliability/data quality, G2 → Trust + Fairness). Module 11 runs the full review.</w:t>
      </w:r>
    </w:p>
    <w:p>
      <w:pPr>
        <w:pBdr>
          <w:bottom w:val="single" w:color="BFBFBF" w:sz="6" w:space="1"/>
        </w:pBdr>
        <w:spacing w:after="120" w:before="120"/>
      </w:pPr>
    </w:p>
    <w:p>
      <w:pPr>
        <w:pStyle w:val="Heading1"/>
      </w:pPr>
      <w:bookmarkStart w:name="s12" w:id="12"/>
      <w:r>
        <w:t xml:space="preserve">12. Exam readiness</w:t>
      </w:r>
      <w:bookmarkEnd w:id="12"/>
    </w:p>
    <w:p>
      <w:pPr>
        <w:spacing w:after="120"/>
      </w:pPr>
      <w:r>
        <w:rPr>
          <w:b/>
          <w:bCs/>
        </w:rPr>
        <w:t xml:space="preserve">Official resources:</w:t>
      </w:r>
      <w:r>
        <w:t xml:space="preserve"> Trailhead </w:t>
      </w:r>
      <w:r>
        <w:rPr>
          <w:i/>
          <w:iCs/>
        </w:rPr>
        <w:t xml:space="preserve">Prepare for Your Salesforce Platform Administrator Credential</w:t>
      </w:r>
      <w:r>
        <w:t xml:space="preserve"> trail, the Platform Administrator exam guide, Admin Trailhead superbadges (Business Administration Specialist, Security Specialist, Process Automation Specialist, Data Integration… ⚠ titles change), Salesforce Help for each feature you touched.</w:t>
      </w:r>
    </w:p>
    <w:p>
      <w:pPr>
        <w:spacing w:after="120"/>
      </w:pPr>
      <w:r>
        <w:rPr>
          <w:b/>
          <w:bCs/>
        </w:rPr>
        <w:t xml:space="preserve">Weekly rhythm (6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64"/>
        <w:gridCol w:w="3151"/>
        <w:gridCol w:w="5265"/>
      </w:tblGrid>
      <w:tr>
        <w:trPr>
          <w:cantSplit/>
          <w:tblHeader/>
        </w:trPr>
        <w:tc>
          <w:tcPr>
            <w:tcW w:type="dxa" w:w="166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Week</w:t>
            </w:r>
          </w:p>
        </w:tc>
        <w:tc>
          <w:tcPr>
            <w:tcW w:type="dxa" w:w="31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Labs</w:t>
            </w:r>
          </w:p>
        </w:tc>
        <w:tc>
          <w:tcPr>
            <w:tcW w:type="dxa" w:w="52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Practice</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C1–C6</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 questions, error log</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O1–O7</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 questions</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S1–S5, P1–P5</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 questions</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V1–V6, A1–A3</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 questions</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A4–A6, F1–F4</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 questions</w:t>
            </w:r>
          </w:p>
        </w:tc>
      </w:tr>
      <w:tr>
        <w:trPr>
          <w:cantSplit/>
        </w:trPr>
        <w:tc>
          <w:tcPr>
            <w:tcW w:type="dxa" w:w="16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w:t>
            </w:r>
          </w:p>
        </w:tc>
        <w:tc>
          <w:tcPr>
            <w:tcW w:type="dxa" w:w="31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F5–F7, G1–G4</w:t>
            </w:r>
          </w:p>
        </w:tc>
        <w:tc>
          <w:tcPr>
            <w:tcW w:type="dxa" w:w="52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full timed mocks</w:t>
            </w:r>
          </w:p>
        </w:tc>
      </w:tr>
    </w:tbl>
    <w:p>
      <w:pPr>
        <w:spacing w:after="120"/>
      </w:pPr>
    </w:p>
    <w:p>
      <w:pPr>
        <w:spacing w:after="120"/>
      </w:pPr>
      <w:r>
        <w:rPr>
          <w:b/>
          <w:bCs/>
        </w:rPr>
        <w:t xml:space="preserve">Book the exam when:</w:t>
      </w:r>
      <w:r>
        <w:t xml:space="preserve"> two full mock exams ≥ 80% on different question banks, every lab has evidence, and your error log has no unresolved "rule" entries. Use the Admin knowledge to close your earlier ADM-201 weak spots: automation tooling, reporting hierarchy, and sharing model.</w:t>
      </w:r>
    </w:p>
    <w:p>
      <w:pPr>
        <w:spacing w:after="120"/>
      </w:pPr>
      <w:r>
        <w:rPr>
          <w:b/>
          <w:bCs/>
        </w:rPr>
        <w:t xml:space="preserve">Interview angle:</w:t>
      </w:r>
      <w:r>
        <w:t xml:space="preserve"> "I ran a lender's org end to end — security model, servicing with entitlements, a regulatory renewal flow with its own exception report, a pipeline from webinar lead to funded deal, analytics, and an agent — and I can explain every configuration decision against the Well-Architected pillars."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08</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08 — Salesforce Platform Administrator Mastery (built inside the Apex org)</dc:title>
  <dc:creator>Apex Home Lending programme</dc:creator>
  <dc:description>Generated from 08-salesforce-platform-admin-mastery.md</dc:description>
  <cp:lastModifiedBy>Un-named</cp:lastModifiedBy>
  <cp:revision>1</cp:revision>
  <dcterms:created xsi:type="dcterms:W3CDTF">2026-10-20T04:21:43.976Z</dcterms:created>
  <dcterms:modified xsi:type="dcterms:W3CDTF">2026-10-20T04:21:43.976Z</dcterms:modified>
</cp:coreProperties>
</file>

<file path=docProps/custom.xml><?xml version="1.0" encoding="utf-8"?>
<Properties xmlns="http://schemas.openxmlformats.org/officeDocument/2006/custom-properties" xmlns:vt="http://schemas.openxmlformats.org/officeDocument/2006/docPropsVTypes"/>
</file>