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Title"/>
      </w:pPr>
      <w:r>
        <w:t xml:space="preserve">Module 09 — Data 360 Consultant Mastery (extending the Apex unified profile)</w:t>
      </w:r>
    </w:p>
    <w:p>
      <w:pPr>
        <w:spacing w:after="120"/>
      </w:pPr>
      <w:r>
        <w:rPr>
          <w:b/>
          <w:bCs/>
        </w:rPr>
        <w:t xml:space="preserve">Goal:</w:t>
      </w:r>
      <w:r>
        <w:t xml:space="preserve"> Cover every section of the Salesforce Certified Data 360 Consultant exam by taking Project 04's unified borrower profile from "working" to "consultant-grade": positioned, governed, enriched, analysed, and activated.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3"/>
        <w:gridCol w:w="8797"/>
      </w:tblGrid>
      <w:tr>
        <w:trPr>
          <w:cantSplit/>
        </w:trPr>
        <w:tc>
          <w:tcPr>
            <w:tcW w:type="dxa" w:w="1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Effort</w:t>
            </w:r>
          </w:p>
        </w:tc>
        <w:tc>
          <w:tcPr>
            <w:tcW w:type="dxa" w:w="87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~4–5 weeks (after Project 04 and Module 08)</w:t>
            </w:r>
          </w:p>
        </w:tc>
      </w:tr>
      <w:tr>
        <w:trPr>
          <w:cantSplit/>
        </w:trPr>
        <w:tc>
          <w:tcPr>
            <w:tcW w:type="dxa" w:w="1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Org</w:t>
            </w:r>
          </w:p>
        </w:tc>
        <w:tc>
          <w:tcPr>
            <w:tcW w:type="dxa" w:w="87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Apex Developer Edition (Data 360 enabled); keep data volumes small to protect credits</w:t>
            </w:r>
          </w:p>
        </w:tc>
      </w:tr>
      <w:tr>
        <w:trPr>
          <w:cantSplit/>
        </w:trPr>
        <w:tc>
          <w:tcPr>
            <w:tcW w:type="dxa" w:w="1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Produces</w:t>
            </w:r>
          </w:p>
        </w:tc>
        <w:tc>
          <w:tcPr>
            <w:tcW w:type="dxa" w:w="87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Solution brief, governance design, extended ingestion (bulk + federation design), transforms, streaming insights, data graph, enrichments, activations, consultant-style deliverables, exam readiness</w:t>
            </w:r>
          </w:p>
        </w:tc>
      </w:tr>
      <w:tr>
        <w:trPr>
          <w:cantSplit/>
        </w:trPr>
        <w:tc>
          <w:tcPr>
            <w:tcW w:type="dxa" w:w="1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Exam</w:t>
            </w:r>
          </w:p>
        </w:tc>
        <w:tc>
          <w:tcPr>
            <w:tcW w:type="dxa" w:w="87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Data 360 Consultant (formerly Data Cloud Consultant)</w:t>
            </w:r>
          </w:p>
        </w:tc>
      </w:tr>
    </w:tbl>
    <w:p>
      <w:pPr>
        <w:spacing w:after="120"/>
      </w:pPr>
    </w:p>
    <w:p>
      <w:pPr>
        <w:pBdr>
          <w:left w:val="single" w:color="8EA9DB" w:sz="18" w:space="8"/>
        </w:pBdr>
        <w:shd w:fill="F5F8FC" w:color="auto" w:val="clear"/>
        <w:spacing w:after="120" w:before="60"/>
        <w:ind w:left="240"/>
      </w:pPr>
      <w:r>
        <w:t xml:space="preserve">⚠ The exam guide on Trailhead is the source of truth. Third-party study guides aligned to the Spring '26 release report 60 scored questions in 105 minutes and the weightings below; confirm the weightings, question count and passing score in the official guide before booking.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ContentsHeading"/>
      </w:pPr>
      <w:r>
        <w:t xml:space="preserve">Contents</w:t>
      </w:r>
    </w:p>
    <w:p>
      <w:pPr>
        <w:pStyle w:val="ContentsItem"/>
      </w:pPr>
      <w:hyperlink w:history="1" w:anchor="s1">
        <w:r>
          <w:rPr>
            <w:color w:val="0563C1"/>
          </w:rPr>
          <w:t xml:space="preserve">1. Blueprint and coverage map</w:t>
        </w:r>
      </w:hyperlink>
    </w:p>
    <w:p>
      <w:pPr>
        <w:pStyle w:val="ContentsItem"/>
      </w:pPr>
      <w:hyperlink w:history="1" w:anchor="s2">
        <w:r>
          <w:rPr>
            <w:color w:val="0563C1"/>
          </w:rPr>
          <w:t xml:space="preserve">2. Solution Positioning</w:t>
        </w:r>
      </w:hyperlink>
    </w:p>
    <w:p>
      <w:pPr>
        <w:pStyle w:val="ContentsItem"/>
      </w:pPr>
      <w:hyperlink w:history="1" w:anchor="s3">
        <w:r>
          <w:rPr>
            <w:color w:val="0563C1"/>
          </w:rPr>
          <w:t xml:space="preserve">3. Setup and Administration</w:t>
        </w:r>
      </w:hyperlink>
    </w:p>
    <w:p>
      <w:pPr>
        <w:pStyle w:val="ContentsItem"/>
      </w:pPr>
      <w:hyperlink w:history="1" w:anchor="s4">
        <w:r>
          <w:rPr>
            <w:color w:val="0563C1"/>
          </w:rPr>
          <w:t xml:space="preserve">4. Data Source Connection and Ingestion</w:t>
        </w:r>
      </w:hyperlink>
    </w:p>
    <w:p>
      <w:pPr>
        <w:pStyle w:val="ContentsItem"/>
      </w:pPr>
      <w:hyperlink w:history="1" w:anchor="s5">
        <w:r>
          <w:rPr>
            <w:color w:val="0563C1"/>
          </w:rPr>
          <w:t xml:space="preserve">5. Harmonization and Unification</w:t>
        </w:r>
      </w:hyperlink>
    </w:p>
    <w:p>
      <w:pPr>
        <w:pStyle w:val="ContentsItem"/>
      </w:pPr>
      <w:hyperlink w:history="1" w:anchor="s6">
        <w:r>
          <w:rPr>
            <w:color w:val="0563C1"/>
          </w:rPr>
          <w:t xml:space="preserve">6. Data Enhancements, Sharing, and Analysis</w:t>
        </w:r>
      </w:hyperlink>
    </w:p>
    <w:p>
      <w:pPr>
        <w:pStyle w:val="ContentsItem"/>
      </w:pPr>
      <w:hyperlink w:history="1" w:anchor="s7">
        <w:r>
          <w:rPr>
            <w:color w:val="0563C1"/>
          </w:rPr>
          <w:t xml:space="preserve">7. Data Activations and Utilization</w:t>
        </w:r>
      </w:hyperlink>
    </w:p>
    <w:p>
      <w:pPr>
        <w:pStyle w:val="ContentsItem"/>
      </w:pPr>
      <w:hyperlink w:history="1" w:anchor="s8">
        <w:r>
          <w:rPr>
            <w:color w:val="0563C1"/>
          </w:rPr>
          <w:t xml:space="preserve">8. Well-Architected tie-in (Salesforce framework, Sep 2026)</w:t>
        </w:r>
      </w:hyperlink>
    </w:p>
    <w:p>
      <w:pPr>
        <w:pStyle w:val="ContentsItem"/>
      </w:pPr>
      <w:hyperlink w:history="1" w:anchor="s9">
        <w:r>
          <w:rPr>
            <w:color w:val="0563C1"/>
          </w:rPr>
          <w:t xml:space="preserve">9. Exam readiness</w:t>
        </w:r>
      </w:hyperlink>
    </w:p>
    <w:p>
      <w:pPr>
        <w:pBdr>
          <w:bottom w:val="single" w:color="BFBFBF" w:sz="6" w:space="4"/>
        </w:pBdr>
      </w:pPr>
    </w:p>
    <w:p>
      <w:pPr>
        <w:pStyle w:val="Heading1"/>
      </w:pPr>
      <w:bookmarkStart w:name="s1" w:id="1"/>
      <w:r>
        <w:t xml:space="preserve">1. Blueprint and coverage map</w:t>
      </w:r>
      <w:bookmarkEnd w:id="1"/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7"/>
        <w:gridCol w:w="1633"/>
        <w:gridCol w:w="3560"/>
        <w:gridCol w:w="1580"/>
      </w:tblGrid>
      <w:tr>
        <w:trPr>
          <w:cantSplit/>
          <w:tblHeader/>
        </w:trPr>
        <w:tc>
          <w:tcPr>
            <w:tcW w:type="dxa" w:w="33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Section</w:t>
            </w:r>
          </w:p>
        </w:tc>
        <w:tc>
          <w:tcPr>
            <w:tcW w:type="dxa" w:w="1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Weight (reported)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Already built (Project 04)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This module's labs</w:t>
            </w:r>
          </w:p>
        </w:tc>
      </w:tr>
      <w:tr>
        <w:trPr>
          <w:cantSplit/>
        </w:trPr>
        <w:tc>
          <w:tcPr>
            <w:tcW w:type="dxa" w:w="33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Solution Positioning</w:t>
            </w:r>
          </w:p>
        </w:tc>
        <w:tc>
          <w:tcPr>
            <w:tcW w:type="dxa" w:w="1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14%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ADR-009, coordination-layer framing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D1–D4</w:t>
            </w:r>
          </w:p>
        </w:tc>
      </w:tr>
      <w:tr>
        <w:trPr>
          <w:cantSplit/>
        </w:trPr>
        <w:tc>
          <w:tcPr>
            <w:tcW w:type="dxa" w:w="33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Data 360 Setup and Administration</w:t>
            </w:r>
          </w:p>
        </w:tc>
        <w:tc>
          <w:tcPr>
            <w:tcW w:type="dxa" w:w="1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13%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Provisioning, permission sets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D5–D8</w:t>
            </w:r>
          </w:p>
        </w:tc>
      </w:tr>
      <w:tr>
        <w:trPr>
          <w:cantSplit/>
        </w:trPr>
        <w:tc>
          <w:tcPr>
            <w:tcW w:type="dxa" w:w="33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Data Source Connection and Ingestion</w:t>
            </w:r>
          </w:p>
        </w:tc>
        <w:tc>
          <w:tcPr>
            <w:tcW w:type="dxa" w:w="1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18%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CRM, S3, Ingestion API streaming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D9–D13</w:t>
            </w:r>
          </w:p>
        </w:tc>
      </w:tr>
      <w:tr>
        <w:trPr>
          <w:cantSplit/>
        </w:trPr>
        <w:tc>
          <w:tcPr>
            <w:tcW w:type="dxa" w:w="33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Harmonization and Unification</w:t>
            </w:r>
          </w:p>
        </w:tc>
        <w:tc>
          <w:tcPr>
            <w:tcW w:type="dxa" w:w="1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17%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Mapping, identity resolution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D14–D17</w:t>
            </w:r>
          </w:p>
        </w:tc>
      </w:tr>
      <w:tr>
        <w:trPr>
          <w:cantSplit/>
        </w:trPr>
        <w:tc>
          <w:tcPr>
            <w:tcW w:type="dxa" w:w="33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Data Enhancements, Sharing, and Analysis</w:t>
            </w:r>
          </w:p>
        </w:tc>
        <w:tc>
          <w:tcPr>
            <w:tcW w:type="dxa" w:w="1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18%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Calculated insight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D18–D23</w:t>
            </w:r>
          </w:p>
        </w:tc>
      </w:tr>
      <w:tr>
        <w:trPr>
          <w:cantSplit/>
        </w:trPr>
        <w:tc>
          <w:tcPr>
            <w:tcW w:type="dxa" w:w="33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Data Activations and Utilization</w:t>
            </w:r>
          </w:p>
        </w:tc>
        <w:tc>
          <w:tcPr>
            <w:tcW w:type="dxa" w:w="1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20%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Segment, data action, retriever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D24–D29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Data 360 consumes </w:t>
      </w:r>
      <w:r>
        <w:rPr>
          <w:b/>
          <w:bCs/>
        </w:rPr>
        <w:t xml:space="preserve">credits</w:t>
      </w:r>
      <w:r>
        <w:t xml:space="preserve"> for ingestion, processing, unification, segmentation and activation. Before each lab, estimate the volume you'll touch and keep a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09-data360/consumption-log.md</w:t>
      </w:r>
      <w:r>
        <w:t xml:space="preserve"> (date, operation, rows, credits shown in the consumption page). Credit awareness is itself an exam topic and a consultant skill.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bookmarkStart w:name="s2" w:id="2"/>
      <w:r>
        <w:t xml:space="preserve">2. Solution Positioning</w:t>
      </w:r>
      <w:bookmarkEnd w:id="2"/>
    </w:p>
    <w:p>
      <w:pPr>
        <w:pStyle w:val="Heading2"/>
      </w:pPr>
      <w:r>
        <w:t xml:space="preserve">D1 — Discovery workshop (consultant deliverable)</w:t>
      </w:r>
    </w:p>
    <w:p>
      <w:pPr>
        <w:spacing w:after="120"/>
      </w:pPr>
      <w:r>
        <w:t xml:space="preserve">Write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09-data360/discovery.md</w:t>
      </w:r>
      <w:r>
        <w:t xml:space="preserve"> as if interviewing Apex Home Lending stakeholders: business goals (specialist productivity, renewal retention, early-arrears detection, compliance), current data sources (servicing system, CRM and origination, borrower portal, broker platforms, marketing), data quality issues, identity keys available, consent model, activation channels, success KPIs (unified-profile coverage %, renewal retention rate, time-to-insight, webinar conversion). Include 15 discovery questions you'd ask — for example, which system is authoritative for a co-borrower's address, and whether broker-originated borrowers may be contacted directly at renewal.</w:t>
      </w:r>
    </w:p>
    <w:p>
      <w:pPr>
        <w:pStyle w:val="Heading2"/>
      </w:pPr>
      <w:r>
        <w:t xml:space="preserve">D2 — Value and use-case map</w:t>
      </w:r>
    </w:p>
    <w:p>
      <w:pPr>
        <w:spacing w:after="120"/>
      </w:pPr>
      <w:r>
        <w:t xml:space="preserve">Map Apex use cases to Data 360 capabilities: unified borrower view (identity resolution), renewal-due alerts (calculated insights + data actions), early-arrears outreach (insights + data actions to a person), next-best-action grounding (retrievers, data graphs), segmentation for first-home webinars (segments + activation), real-time portal personalization (streaming + data graphs). Mark each </w:t>
      </w:r>
      <w:r>
        <w:rPr>
          <w:i/>
          <w:iCs/>
        </w:rPr>
        <w:t xml:space="preserve">ingest vs federate</w:t>
      </w:r>
      <w:r>
        <w:t xml:space="preserve">.</w:t>
      </w:r>
    </w:p>
    <w:p>
      <w:pPr>
        <w:pStyle w:val="Heading2"/>
      </w:pPr>
      <w:r>
        <w:t xml:space="preserve">D3 — Position against alternatives</w:t>
      </w:r>
    </w:p>
    <w:p>
      <w:pPr>
        <w:spacing w:after="120"/>
      </w:pPr>
      <w:r>
        <w:t xml:space="preserve">A comparison table: Data 360 vs data warehouse/lakehouse vs MDM vs traditional CDP vs Marketing Cloud data extensions — what each is </w:t>
      </w:r>
      <w:r>
        <w:rPr>
          <w:i/>
          <w:iCs/>
        </w:rPr>
        <w:t xml:space="preserve">for</w:t>
      </w:r>
      <w:r>
        <w:t xml:space="preserve">, when Data 360 is the wrong choice (pure BI; no Salesforce activation need).</w:t>
      </w:r>
    </w:p>
    <w:p>
      <w:pPr>
        <w:pStyle w:val="Heading2"/>
      </w:pPr>
      <w:r>
        <w:t xml:space="preserve">D4 — Licensing and consumption model</w:t>
      </w:r>
    </w:p>
    <w:p>
      <w:pPr>
        <w:spacing w:after="120"/>
      </w:pPr>
      <w:r>
        <w:t xml:space="preserve">Document how credits are consumed by operation type and how design choices (batch vs streaming, refresh frequency, segment refresh type, federation) change consumption. Use your consumption log as evidence. ⚠ Rates and SKUs change — cite current Salesforce docs, don't memorize prices.</w:t>
      </w:r>
    </w:p>
    <w:p>
      <w:pPr>
        <w:spacing w:after="120"/>
      </w:pPr>
      <w:r>
        <w:rPr>
          <w:b/>
          <w:bCs/>
        </w:rPr>
        <w:t xml:space="preserve">Exam angle:</w:t>
      </w:r>
      <w:r>
        <w:t xml:space="preserve"> given a scenario, choose whether Data 360 is appropriate; identify which feature fits a requirement.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bookmarkStart w:name="s3" w:id="3"/>
      <w:r>
        <w:t xml:space="preserve">3. Setup and Administration</w:t>
      </w:r>
      <w:bookmarkEnd w:id="3"/>
    </w:p>
    <w:p>
      <w:pPr>
        <w:pStyle w:val="Heading2"/>
      </w:pPr>
      <w:r>
        <w:t xml:space="preserve">D5 — Permission model</w:t>
      </w:r>
    </w:p>
    <w:p>
      <w:pPr>
        <w:spacing w:after="120"/>
      </w:pPr>
      <w:r>
        <w:t xml:space="preserve">Create three test personas and assign Data 360 permission sets ⚠ names vary (e.g., </w:t>
      </w:r>
      <w:r>
        <w:rPr>
          <w:i/>
          <w:iCs/>
        </w:rPr>
        <w:t xml:space="preserve">Data Cloud Admin</w:t>
      </w:r>
      <w:r>
        <w:t xml:space="preserve">, </w:t>
      </w:r>
      <w:r>
        <w:rPr>
          <w:i/>
          <w:iCs/>
        </w:rPr>
        <w:t xml:space="preserve">Data Cloud Architect / Data Aware Specialist</w:t>
      </w:r>
      <w:r>
        <w:t xml:space="preserve">, </w:t>
      </w:r>
      <w:r>
        <w:rPr>
          <w:i/>
          <w:iCs/>
        </w:rPr>
        <w:t xml:space="preserve">Data Cloud Marketing Manager / Specialist</w:t>
      </w:r>
      <w:r>
        <w:t xml:space="preserve">). Build a matrix: who can create streams, mappings, identity rules, segments, activations. Verify each persona's UI.</w:t>
      </w:r>
    </w:p>
    <w:p>
      <w:pPr>
        <w:pStyle w:val="Heading2"/>
      </w:pPr>
      <w:r>
        <w:t xml:space="preserve">D6 — Data spaces (design + what you can build)</w:t>
      </w:r>
    </w:p>
    <w:p>
      <w:pPr>
        <w:spacing w:after="120"/>
      </w:pPr>
      <w:r>
        <w:t xml:space="preserve">Developer Edition limits data spaces, so: (a) inspect the </w:t>
      </w:r>
      <w:r>
        <w:rPr>
          <w:b/>
          <w:bCs/>
        </w:rPr>
        <w:t xml:space="preserve">default</w:t>
      </w:r>
      <w:r>
        <w:t xml:space="preserve"> data space and its filters; (b) write the production design — data spaces per legal entity (Apex Home Lending vs a deposit-taking affiliate, Apex Trust), data space filters on DLOs, and which personas get which space; (c) explain how data spaces interact with segments and activations.</w:t>
      </w:r>
    </w:p>
    <w:p>
      <w:pPr>
        <w:pStyle w:val="Heading2"/>
      </w:pPr>
      <w:r>
        <w:t xml:space="preserve">D7 — Org connections and multi-org</w:t>
      </w:r>
    </w:p>
    <w:p>
      <w:pPr>
        <w:spacing w:after="120"/>
      </w:pPr>
      <w:r>
        <w:t xml:space="preserve">Document how a second Salesforce org (e.g., an acquired brokerage's org) would connect via the CRM connector, and the identity implications. Optional: connect your scratch org from Module 08 as a second CRM source ⚠ if your entitlement allows.</w:t>
      </w:r>
    </w:p>
    <w:p>
      <w:pPr>
        <w:pStyle w:val="Heading2"/>
      </w:pPr>
      <w:r>
        <w:t xml:space="preserve">D8 — Packaging, deployment, monitoring</w:t>
      </w:r>
    </w:p>
    <w:p>
      <w:pPr>
        <w:spacing w:after="120"/>
      </w:pPr>
      <w:r>
        <w:t xml:space="preserve">Create a </w:t>
      </w:r>
      <w:r>
        <w:rPr>
          <w:b/>
          <w:bCs/>
        </w:rPr>
        <w:t xml:space="preserve">data kit</w:t>
      </w:r>
      <w:r>
        <w:t xml:space="preserve"> containing your streams, mappings and calculated insight; deploy it to a second org if available or document the steps. Monitor: data stream refresh history, identity resolution processing history, segment publish history, activation history, consumption cards; set up a weekly review checklist.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bookmarkStart w:name="s4" w:id="4"/>
      <w:r>
        <w:t xml:space="preserve">4. Data Source Connection and Ingestion</w:t>
      </w:r>
      <w:bookmarkEnd w:id="4"/>
    </w:p>
    <w:p>
      <w:pPr>
        <w:pStyle w:val="Heading2"/>
      </w:pPr>
      <w:r>
        <w:t xml:space="preserve">D9 — Connector catalogue</w:t>
      </w:r>
    </w:p>
    <w:p>
      <w:pPr>
        <w:spacing w:after="120"/>
      </w:pPr>
      <w:r>
        <w:t xml:space="preserve">Write a table of connector families (Salesforce CRM, Marketing Cloud Engagement, Commerce Cloud, cloud storage — S3/GCS/Azure, Ingestion API streaming + bulk, Web &amp; Mobile SDK, MuleSoft, zero-copy federation sources such as Snowflake/Redshift/BigQuery/Databricks ⚠) with when to use each, latency, and auth model.</w:t>
      </w:r>
    </w:p>
    <w:p>
      <w:pPr>
        <w:pStyle w:val="Heading2"/>
      </w:pPr>
      <w:r>
        <w:t xml:space="preserve">D10 — Ingestion API </w:t>
      </w:r>
      <w:r>
        <w:rPr>
          <w:b/>
          <w:bCs/>
        </w:rPr>
        <w:t xml:space="preserve">bulk</w:t>
      </w:r>
      <w:r>
        <w:t xml:space="preserve"> job</w:t>
      </w:r>
    </w:p>
    <w:p>
      <w:pPr>
        <w:spacing w:after="120"/>
      </w:pPr>
      <w:r>
        <w:t xml:space="preserve">Extend Project 04: create a bulk job for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portal_event</w:t>
      </w:r>
      <w:r>
        <w:t xml:space="preserve">, upload CSV, close the job, poll status. Compare with streaming: payload limits, latency, use cases (backfill vs live).</w:t>
      </w:r>
    </w:p>
    <w:p>
      <w:pPr>
        <w:pStyle w:val="CodeLabel"/>
        <w:ind w:left="0"/>
      </w:pPr>
      <w:r>
        <w:t xml:space="preserve">python</w:t>
      </w:r>
    </w:p>
    <w:p>
      <w:pPr>
        <w:pStyle w:val="Code"/>
        <w:shd w:fill="F3F4F6" w:color="auto" w:val="clear"/>
        <w:spacing w:after="0" w:before="40"/>
        <w:ind w:left="0"/>
      </w:pPr>
      <w:r>
        <w:rPr>
          <w:rFonts w:ascii="Consolas" w:cs="Consolas" w:eastAsia="Consolas" w:hAnsi="Consolas"/>
        </w:rPr>
        <w:t xml:space="preserve"># outline — use the Data 360 token from Project 04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job = post(f"{base}/api/v1/ingest/jobs", json={"object":"portal_event","sourceName":"apex_portal","operation":"upsert"})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put(f"{base}/api/v1/ingest/jobs/{job['id']}/batches", data=open("events.csv","rb"), headers={"Content-Type":"text/csv"})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patch(f"{base}/api/v1/ingest/jobs/{job['id']}", json={"state":"UploadComplete"})</w:t>
      </w:r>
    </w:p>
    <w:p>
      <w:pPr>
        <w:pStyle w:val="Code"/>
        <w:shd w:fill="F3F4F6" w:color="auto" w:val="clear"/>
        <w:spacing w:after="160" w:before="0"/>
        <w:ind w:left="0"/>
      </w:pPr>
      <w:r>
        <w:rPr>
          <w:rFonts w:ascii="Consolas" w:cs="Consolas" w:eastAsia="Consolas" w:hAnsi="Consolas"/>
        </w:rPr>
        <w:t xml:space="preserve"># poll GET .../jobs/{id} until JobComplete</w:t>
      </w:r>
    </w:p>
    <w:p>
      <w:pPr>
        <w:spacing w:after="120"/>
      </w:pPr>
      <w:r>
        <w:t xml:space="preserve">⚠ verify endpoint shapes against current Ingestion API docs.</w:t>
      </w:r>
    </w:p>
    <w:p>
      <w:pPr>
        <w:pStyle w:val="Heading2"/>
      </w:pPr>
      <w:r>
        <w:t xml:space="preserve">D11 — Stream configuration options</w:t>
      </w:r>
    </w:p>
    <w:p>
      <w:pPr>
        <w:spacing w:after="120"/>
      </w:pPr>
      <w:r>
        <w:t xml:space="preserve">On the S3 stream, try and document: </w:t>
      </w:r>
      <w:r>
        <w:rPr>
          <w:b/>
          <w:bCs/>
        </w:rPr>
        <w:t xml:space="preserve">refresh modes</w:t>
      </w:r>
      <w:r>
        <w:t xml:space="preserve"> (full refresh vs upsert/incremental), schedule frequency, </w:t>
      </w:r>
      <w:r>
        <w:rPr>
          <w:b/>
          <w:bCs/>
        </w:rPr>
        <w:t xml:space="preserve">formula fields</w:t>
      </w:r>
      <w:r>
        <w:t xml:space="preserve"> at ingestion (e.g.,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borrower_key = UPPER(TRIM(borrower_id))</w:t>
      </w:r>
      <w:r>
        <w:t xml:space="preserve">, a constant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source_system = 'SERVICING'</w:t>
      </w:r>
      <w:r>
        <w:t xml:space="preserve">), </w:t>
      </w:r>
      <w:r>
        <w:rPr>
          <w:b/>
          <w:bCs/>
        </w:rPr>
        <w:t xml:space="preserve">record modified field</w:t>
      </w:r>
      <w:r>
        <w:t xml:space="preserve"> for incremental, deletes handling, header/encoding options, what happens on schema change (add a column).</w:t>
      </w:r>
    </w:p>
    <w:p>
      <w:pPr>
        <w:pStyle w:val="Heading2"/>
      </w:pPr>
      <w:r>
        <w:t xml:space="preserve">D12 — Web/Mobile SDK (design)</w:t>
      </w:r>
    </w:p>
    <w:p>
      <w:pPr>
        <w:spacing w:after="120"/>
      </w:pPr>
      <w:r>
        <w:t xml:space="preserve">Design how the borrower portal would send engagement events via the Web SDK (sitemap, consent, event schema); document the data flow. Optional hands-on with a local static page if your org exposes a Website connector ⚠.</w:t>
      </w:r>
    </w:p>
    <w:p>
      <w:pPr>
        <w:pStyle w:val="Heading2"/>
      </w:pPr>
      <w:r>
        <w:t xml:space="preserve">D13 — Zero-copy federation (design + ADR)</w:t>
      </w:r>
    </w:p>
    <w:p>
      <w:pPr>
        <w:spacing w:after="120"/>
      </w:pPr>
      <w:r>
        <w:t xml:space="preserve">Design federating the payments table from a warehouse (e.g., Redshift in your AWS account) instead of ingesting: network/auth requirements, freshness, credit implications, which features need ingested data. Update ADR-009 with a decision matrix.</w:t>
      </w:r>
    </w:p>
    <w:p>
      <w:pPr>
        <w:spacing w:after="120"/>
      </w:pPr>
      <w:r>
        <w:rPr>
          <w:b/>
          <w:bCs/>
        </w:rPr>
        <w:t xml:space="preserve">Exam angle:</w:t>
      </w:r>
      <w:r>
        <w:t xml:space="preserve"> pick the connector and category for a scenario; know what Profile/Engagement/Other implies; know when federation is appropriate.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bookmarkStart w:name="s5" w:id="5"/>
      <w:r>
        <w:t xml:space="preserve">5. Harmonization and Unification</w:t>
      </w:r>
      <w:bookmarkEnd w:id="5"/>
    </w:p>
    <w:p>
      <w:pPr>
        <w:pStyle w:val="Heading2"/>
      </w:pPr>
      <w:r>
        <w:t xml:space="preserve">D14 — Data model deep dive</w:t>
      </w:r>
    </w:p>
    <w:p>
      <w:pPr>
        <w:spacing w:after="120"/>
      </w:pPr>
      <w:r>
        <w:t xml:space="preserve">Draw the Customer 360 data model subset you use: Individual, Party Identification, Contact Point Email/Phone/Address, Account, custom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Mortgage_Payment</w:t>
      </w:r>
      <w:r>
        <w:t xml:space="preserve">, and relationships. Note standard vs custom DMOs and the </w:t>
      </w:r>
      <w:r>
        <w:rPr>
          <w:b/>
          <w:bCs/>
        </w:rPr>
        <w:t xml:space="preserve">primary key / foreign key</w:t>
      </w:r>
      <w:r>
        <w:t xml:space="preserve"> relationships you defined.</w:t>
      </w:r>
    </w:p>
    <w:p>
      <w:pPr>
        <w:pStyle w:val="Heading2"/>
      </w:pPr>
      <w:r>
        <w:t xml:space="preserve">D15 — Mapping patterns</w:t>
      </w:r>
    </w:p>
    <w:p>
      <w:pPr>
        <w:spacing w:after="120"/>
      </w:pPr>
      <w:r>
        <w:t xml:space="preserve">Map Contact Point </w:t>
      </w:r>
      <w:r>
        <w:rPr>
          <w:b/>
          <w:bCs/>
        </w:rPr>
        <w:t xml:space="preserve">Address</w:t>
      </w:r>
      <w:r>
        <w:t xml:space="preserve"> from both CRM and the servicing system; map one source to </w:t>
      </w:r>
      <w:r>
        <w:rPr>
          <w:b/>
          <w:bCs/>
        </w:rPr>
        <w:t xml:space="preserve">multiple DMOs</w:t>
      </w:r>
      <w:r>
        <w:t xml:space="preserve">; use a DLO formula to create a deterministic key; fix a mapping error intentionally introduced (wrong data type) and document the symptom.</w:t>
      </w:r>
    </w:p>
    <w:p>
      <w:pPr>
        <w:pStyle w:val="Heading2"/>
      </w:pPr>
      <w:r>
        <w:t xml:space="preserve">D16 — Identity resolution tuning</w:t>
      </w:r>
    </w:p>
    <w:p>
      <w:pPr>
        <w:spacing w:after="120"/>
      </w:pPr>
      <w:r>
        <w:t xml:space="preserve">Run three rulesets in sequence (or edit and re-run) and record results: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9"/>
        <w:gridCol w:w="3111"/>
        <w:gridCol w:w="1527"/>
        <w:gridCol w:w="1721"/>
        <w:gridCol w:w="1762"/>
      </w:tblGrid>
      <w:tr>
        <w:trPr>
          <w:cantSplit/>
          <w:tblHeader/>
        </w:trPr>
        <w:tc>
          <w:tcPr>
            <w:tcW w:type="dxa" w:w="19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Ruleset</w:t>
            </w:r>
          </w:p>
        </w:tc>
        <w:tc>
          <w:tcPr>
            <w:tcW w:type="dxa" w:w="3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Rules</w:t>
            </w:r>
          </w:p>
        </w:tc>
        <w:tc>
          <w:tcPr>
            <w:tcW w:type="dxa" w:w="1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Unified profiles</w:t>
            </w:r>
          </w:p>
        </w:tc>
        <w:tc>
          <w:tcPr>
            <w:tcW w:type="dxa" w:w="1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False merges (seeded)</w:t>
            </w:r>
          </w:p>
        </w:tc>
        <w:tc>
          <w:tcPr>
            <w:tcW w:type="dxa" w:w="17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Missed merges (seeded)</w:t>
            </w:r>
          </w:p>
        </w:tc>
      </w:tr>
      <w:tr>
        <w:trPr>
          <w:cantSplit/>
        </w:trPr>
        <w:tc>
          <w:tcPr>
            <w:tcW w:type="dxa" w:w="19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Conservative</w:t>
            </w:r>
          </w:p>
        </w:tc>
        <w:tc>
          <w:tcPr>
            <w:tcW w:type="dxa" w:w="3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Exact Party ID</w:t>
            </w:r>
          </w:p>
        </w:tc>
        <w:tc>
          <w:tcPr>
            <w:tcW w:type="dxa" w:w="1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7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19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+ Email</w:t>
            </w:r>
          </w:p>
        </w:tc>
        <w:tc>
          <w:tcPr>
            <w:tcW w:type="dxa" w:w="3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+ Exact normalized email</w:t>
            </w:r>
          </w:p>
        </w:tc>
        <w:tc>
          <w:tcPr>
            <w:tcW w:type="dxa" w:w="1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7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19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+ Fuzzy</w:t>
            </w:r>
          </w:p>
        </w:tc>
        <w:tc>
          <w:tcPr>
            <w:tcW w:type="dxa" w:w="3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+ Fuzzy first + exact last + exact phone</w:t>
            </w:r>
          </w:p>
        </w:tc>
        <w:tc>
          <w:tcPr>
            <w:tcW w:type="dxa" w:w="1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7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</w:p>
        </w:tc>
      </w:tr>
    </w:tbl>
    <w:p>
      <w:pPr>
        <w:spacing w:after="120"/>
      </w:pPr>
    </w:p>
    <w:p>
      <w:pPr>
        <w:spacing w:after="120"/>
      </w:pPr>
      <w:r>
        <w:t xml:space="preserve">Inspect </w:t>
      </w:r>
      <w:r>
        <w:rPr>
          <w:b/>
          <w:bCs/>
        </w:rPr>
        <w:t xml:space="preserve">Unified Link</w:t>
      </w:r>
      <w:r>
        <w:t xml:space="preserve"> objects to trace why records merged. Change reconciliation rules (most frequent vs last updated vs source priority) for address and observe the unified profile.</w:t>
      </w:r>
    </w:p>
    <w:p>
      <w:pPr>
        <w:pStyle w:val="Heading2"/>
      </w:pPr>
      <w:r>
        <w:t xml:space="preserve">D17 — Consent and contact point selection</w:t>
      </w:r>
    </w:p>
    <w:p>
      <w:pPr>
        <w:spacing w:after="120"/>
      </w:pPr>
      <w:r>
        <w:t xml:space="preserve">Model communication consent (consent DMOs ⚠ names vary) and show how it filters which contact points are eligible for activation.</w:t>
      </w:r>
    </w:p>
    <w:p>
      <w:pPr>
        <w:spacing w:after="120"/>
      </w:pPr>
      <w:r>
        <w:rPr>
          <w:b/>
          <w:bCs/>
        </w:rPr>
        <w:t xml:space="preserve">Exam angle:</w:t>
      </w:r>
      <w:r>
        <w:t xml:space="preserve"> choose match rule types for a scenario; explain unified link vs unified individual; predict the effect of a reconciliation rule.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bookmarkStart w:name="s6" w:id="6"/>
      <w:r>
        <w:t xml:space="preserve">6. Data Enhancements, Sharing, and Analysis</w:t>
      </w:r>
      <w:bookmarkEnd w:id="6"/>
    </w:p>
    <w:p>
      <w:pPr>
        <w:pStyle w:val="Heading2"/>
      </w:pPr>
      <w:r>
        <w:t xml:space="preserve">D18 — Data transforms</w:t>
      </w:r>
    </w:p>
    <w:p>
      <w:pPr>
        <w:spacing w:after="120"/>
      </w:pPr>
      <w:r>
        <w:t xml:space="preserve">Create a </w:t>
      </w:r>
      <w:r>
        <w:rPr>
          <w:b/>
          <w:bCs/>
        </w:rPr>
        <w:t xml:space="preserve">batch data transform</w:t>
      </w:r>
      <w:r>
        <w:t xml:space="preserve"> that standardizes payment types and joins loan → borrower into a cleaned DLO; then a </w:t>
      </w:r>
      <w:r>
        <w:rPr>
          <w:b/>
          <w:bCs/>
        </w:rPr>
        <w:t xml:space="preserve">streaming transform</w:t>
      </w:r>
      <w:r>
        <w:t xml:space="preserve"> for portal events (filter bots, derive session id) ⚠ availability.</w:t>
      </w:r>
    </w:p>
    <w:p>
      <w:pPr>
        <w:pStyle w:val="Heading2"/>
      </w:pPr>
      <w:r>
        <w:t xml:space="preserve">D19 — Calculated vs streaming insights</w:t>
      </w:r>
    </w:p>
    <w:p>
      <w:pPr>
        <w:spacing w:after="120"/>
      </w:pPr>
      <w:r>
        <w:t xml:space="preserve">Extend the calculated insight (total balance, returned payments in 90 days, days to maturity). Create a </w:t>
      </w:r>
      <w:r>
        <w:rPr>
          <w:b/>
          <w:bCs/>
        </w:rPr>
        <w:t xml:space="preserve">streaming insight</w:t>
      </w:r>
      <w:r>
        <w:t xml:space="preserve"> on portal events: "payout statement requested, or 3+ prepayment-calculator uses in 10 minutes" — both strong signs the borrower may refinance or switch lenders — that feeds a data action (D27). Document latency and use-case differences.</w:t>
      </w:r>
    </w:p>
    <w:p>
      <w:pPr>
        <w:pStyle w:val="Heading2"/>
      </w:pPr>
      <w:r>
        <w:t xml:space="preserve">D20 — Data graphs (real-time profile)</w:t>
      </w:r>
    </w:p>
    <w:p>
      <w:pPr>
        <w:spacing w:after="120"/>
      </w:pPr>
      <w:r>
        <w:t xml:space="preserve">Create a </w:t>
      </w:r>
      <w:r>
        <w:rPr>
          <w:b/>
          <w:bCs/>
        </w:rPr>
        <w:t xml:space="preserve">data graph</w:t>
      </w:r>
      <w:r>
        <w:t xml:space="preserve"> rooted on Unified Individual with Loans, recent payments, and open cases; query it and explain its role for real-time use (agents, personalization) ⚠ feature availability in Developer Edition.</w:t>
      </w:r>
    </w:p>
    <w:p>
      <w:pPr>
        <w:pStyle w:val="Heading2"/>
      </w:pPr>
      <w:r>
        <w:t xml:space="preserve">D21 — Query and exploration</w:t>
      </w:r>
    </w:p>
    <w:p>
      <w:pPr>
        <w:spacing w:after="120"/>
      </w:pPr>
      <w:r>
        <w:t xml:space="preserve">Use </w:t>
      </w:r>
      <w:r>
        <w:rPr>
          <w:b/>
          <w:bCs/>
        </w:rPr>
        <w:t xml:space="preserve">Query Editor</w:t>
      </w:r>
      <w:r>
        <w:t xml:space="preserve"> (ANSI SQL) and </w:t>
      </w:r>
      <w:r>
        <w:rPr>
          <w:b/>
          <w:bCs/>
        </w:rPr>
        <w:t xml:space="preserve">Data Explorer</w:t>
      </w:r>
      <w:r>
        <w:t xml:space="preserve"> to answer: how many unified borrowers have balances above $500,000 and a maturity within 120 days? Save the queries in the repo. Optional: query via the Query API from Python using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cdp_query_api</w:t>
      </w:r>
      <w:r>
        <w:t xml:space="preserve"> scope.</w:t>
      </w:r>
    </w:p>
    <w:p>
      <w:pPr>
        <w:pStyle w:val="Heading2"/>
      </w:pPr>
      <w:r>
        <w:t xml:space="preserve">D22 — Enrichments back into CRM</w:t>
      </w:r>
    </w:p>
    <w:p>
      <w:pPr>
        <w:spacing w:after="120"/>
      </w:pPr>
      <w:r>
        <w:t xml:space="preserve">Configure </w:t>
      </w:r>
      <w:r>
        <w:rPr>
          <w:b/>
          <w:bCs/>
        </w:rPr>
        <w:t xml:space="preserve">copy field enrichment</w:t>
      </w:r>
      <w:r>
        <w:t xml:space="preserve"> (write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total_balance</w:t>
      </w:r>
      <w:r>
        <w:t xml:space="preserve"> back to Contact) and a </w:t>
      </w:r>
      <w:r>
        <w:rPr>
          <w:b/>
          <w:bCs/>
        </w:rPr>
        <w:t xml:space="preserve">related list enrichment</w:t>
      </w:r>
      <w:r>
        <w:t xml:space="preserve"> (recent portal events on the Contact page) ⚠ labels vary. Verify on Alice's view of a borrower.</w:t>
      </w:r>
    </w:p>
    <w:p>
      <w:pPr>
        <w:pStyle w:val="Heading2"/>
      </w:pPr>
      <w:r>
        <w:t xml:space="preserve">D23 — Sharing and analytics</w:t>
      </w:r>
    </w:p>
    <w:p>
      <w:pPr>
        <w:spacing w:after="120"/>
      </w:pPr>
      <w:r>
        <w:t xml:space="preserve">Exam note: this section includes applying </w:t>
      </w:r>
      <w:r>
        <w:rPr>
          <w:b/>
          <w:bCs/>
        </w:rPr>
        <w:t xml:space="preserve">predictive and generative AI tooling</w:t>
      </w:r>
      <w:r>
        <w:t xml:space="preserve"> to Data 360 data, so do the Einstein Studio (model builder / bring-your-own-model) and Prompt Builder grounding exercises hands-on if your org allows, not only as design notes.</w:t>
      </w:r>
    </w:p>
    <w:p>
      <w:pPr>
        <w:spacing w:after="120"/>
      </w:pPr>
      <w:r>
        <w:t xml:space="preserve">Document </w:t>
      </w:r>
      <w:r>
        <w:rPr>
          <w:b/>
          <w:bCs/>
        </w:rPr>
        <w:t xml:space="preserve">data shares</w:t>
      </w:r>
      <w:r>
        <w:t xml:space="preserve"> (zero-copy out to Snowflake/Redshift/BigQuery/Databricks ⚠) and connecting Tableau/CRM Analytics; design the governance (what leaves Data 360, who consumes it). Optional: Einstein Studio / bring-your-own-model concept — where the renewal-attrition score (Module 12 M1) would come from and land.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bookmarkStart w:name="s7" w:id="7"/>
      <w:r>
        <w:t xml:space="preserve">7. Data Activations and Utilization</w:t>
      </w:r>
      <w:bookmarkEnd w:id="7"/>
    </w:p>
    <w:p>
      <w:pPr>
        <w:pStyle w:val="Heading2"/>
      </w:pPr>
      <w:r>
        <w:t xml:space="preserve">D24 — Segment design</w:t>
      </w:r>
    </w:p>
    <w:p>
      <w:pPr>
        <w:spacing w:after="120"/>
      </w:pPr>
      <w:r>
        <w:t xml:space="preserve">Build segments: (1) </w:t>
      </w:r>
      <w:r>
        <w:rPr>
          <w:i/>
          <w:iCs/>
        </w:rPr>
        <w:t xml:space="preserve">Renewal window</w:t>
      </w:r>
      <w:r>
        <w:t xml:space="preserve"> (maturity within 120 days); (2) </w:t>
      </w:r>
      <w:r>
        <w:rPr>
          <w:i/>
          <w:iCs/>
        </w:rPr>
        <w:t xml:space="preserve">First-home webinar audience</w:t>
      </w:r>
      <w:r>
        <w:t xml:space="preserve"> — prospects who used the affordability calculator in the last 60 days, Vancouver, consented to email; (3) nested/exclusion segment (renewal window </w:t>
      </w:r>
      <w:r>
        <w:rPr>
          <w:b/>
          <w:bCs/>
        </w:rPr>
        <w:t xml:space="preserve">excluding</w:t>
      </w:r>
      <w:r>
        <w:t xml:space="preserve"> borrowers in arrears or with open complaints — they need a person, not a campaign). Compare </w:t>
      </w:r>
      <w:r>
        <w:rPr>
          <w:b/>
          <w:bCs/>
        </w:rPr>
        <w:t xml:space="preserve">refresh types</w:t>
      </w:r>
      <w:r>
        <w:t xml:space="preserve"> (standard, rapid, real-time ⚠) and their credit impact.</w:t>
      </w:r>
    </w:p>
    <w:p>
      <w:pPr>
        <w:pStyle w:val="Heading2"/>
      </w:pPr>
      <w:r>
        <w:t xml:space="preserve">D25 — Activation targets</w:t>
      </w:r>
    </w:p>
    <w:p>
      <w:pPr>
        <w:spacing w:after="120"/>
      </w:pPr>
      <w:r>
        <w:t xml:space="preserve">Document activation targets: Marketing Cloud Engagement, advertising platforms, cloud file storage (S3), Salesforce CRM / Data Actions. Hands-on: create an </w:t>
      </w:r>
      <w:r>
        <w:rPr>
          <w:b/>
          <w:bCs/>
        </w:rPr>
        <w:t xml:space="preserve">Amazon S3 activation target</w:t>
      </w:r>
      <w:r>
        <w:t xml:space="preserve"> writing segment members to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s3://apex-curated-&lt;acct&gt;/activations/</w:t>
      </w:r>
      <w:r>
        <w:t xml:space="preserve"> ⚠ if available; verify the file; configure </w:t>
      </w:r>
      <w:r>
        <w:rPr>
          <w:b/>
          <w:bCs/>
        </w:rPr>
        <w:t xml:space="preserve">contact point selection</w:t>
      </w:r>
      <w:r>
        <w:t xml:space="preserve"> and attributes to include.</w:t>
      </w:r>
    </w:p>
    <w:p>
      <w:pPr>
        <w:pStyle w:val="Heading2"/>
      </w:pPr>
      <w:r>
        <w:t xml:space="preserve">D26 — Activation membership and governance</w:t>
      </w:r>
    </w:p>
    <w:p>
      <w:pPr>
        <w:spacing w:after="120"/>
      </w:pPr>
      <w:r>
        <w:t xml:space="preserve">Show which attributes are sent, how consent filters membership, and how to stop an activation; document data minimization (no SIN or credit-bureau data ever leaves).</w:t>
      </w:r>
    </w:p>
    <w:p>
      <w:pPr>
        <w:pStyle w:val="Heading2"/>
      </w:pPr>
      <w:r>
        <w:t xml:space="preserve">D27 — Data actions → Flow / webhook</w:t>
      </w:r>
    </w:p>
    <w:p>
      <w:pPr>
        <w:spacing w:after="120"/>
      </w:pPr>
      <w:r>
        <w:t xml:space="preserve">Extend Project 04: a second </w:t>
      </w:r>
      <w:r>
        <w:rPr>
          <w:b/>
          <w:bCs/>
        </w:rPr>
        <w:t xml:space="preserve">data action</w:t>
      </w:r>
      <w:r>
        <w:t xml:space="preserve"> from the streaming insight (D19) to a </w:t>
      </w:r>
      <w:r>
        <w:rPr>
          <w:b/>
          <w:bCs/>
        </w:rPr>
        <w:t xml:space="preserve">webhook target</w:t>
      </w:r>
      <w:r>
        <w:t xml:space="preserve"> — your AWS API Gateway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/v1/events</w:t>
      </w:r>
      <w:r>
        <w:t xml:space="preserve"> (secured with a signing key ⚠ supported mechanisms) — and confirm the event lands in EventBridge. Now Data 360 participates in your event backbone.</w:t>
      </w:r>
    </w:p>
    <w:p>
      <w:pPr>
        <w:pStyle w:val="Heading2"/>
      </w:pPr>
      <w:r>
        <w:t xml:space="preserve">D28 — Data 360 in Flow and Agentforce</w:t>
      </w:r>
    </w:p>
    <w:p>
      <w:pPr>
        <w:spacing w:after="120"/>
      </w:pPr>
      <w:r>
        <w:t xml:space="preserve">Use Data 360 data in a </w:t>
      </w:r>
      <w:r>
        <w:rPr>
          <w:b/>
          <w:bCs/>
        </w:rPr>
        <w:t xml:space="preserve">Flow</w:t>
      </w:r>
      <w:r>
        <w:t xml:space="preserve"> (Get Records on a DMO / data graph ⚠) and in </w:t>
      </w:r>
      <w:r>
        <w:rPr>
          <w:b/>
          <w:bCs/>
        </w:rPr>
        <w:t xml:space="preserve">Prompt Builder</w:t>
      </w:r>
      <w:r>
        <w:t xml:space="preserve"> grounding; tie to the Agentforce retriever from Project 04.</w:t>
      </w:r>
    </w:p>
    <w:p>
      <w:pPr>
        <w:pStyle w:val="Heading2"/>
      </w:pPr>
      <w:r>
        <w:t xml:space="preserve">D29 — End-to-end consultant demo</w:t>
      </w:r>
    </w:p>
    <w:p>
      <w:pPr>
        <w:spacing w:after="120"/>
      </w:pPr>
      <w:r>
        <w:t xml:space="preserve">Five-minute demo: a payout-statement request on the portal triggers a streaming insight → data action → retention task for the specialist + EventBridge event → the agent can see the enriched profile.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bookmarkStart w:name="s8" w:id="8"/>
      <w:r>
        <w:t xml:space="preserve">8. Well-Architected tie-in (Salesforce framework, Sep 2026)</w:t>
      </w:r>
      <w:bookmarkEnd w:id="8"/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0"/>
        <w:gridCol w:w="7800"/>
      </w:tblGrid>
      <w:tr>
        <w:trPr>
          <w:cantSplit/>
          <w:tblHeader/>
        </w:trPr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Pillar</w:t>
            </w:r>
          </w:p>
        </w:tc>
        <w:tc>
          <w:tcPr>
            <w:tcW w:type="dxa" w:w="7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Data 360 evidence</w:t>
            </w:r>
          </w:p>
        </w:tc>
      </w:tr>
      <w:tr>
        <w:trPr>
          <w:cantSplit/>
        </w:trPr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Trust</w:t>
            </w:r>
          </w:p>
        </w:tc>
        <w:tc>
          <w:tcPr>
            <w:tcW w:type="dxa" w:w="7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Permission matrix (D5), data minimization, consent (D17), activation governance (D26)</w:t>
            </w:r>
          </w:p>
        </w:tc>
      </w:tr>
      <w:tr>
        <w:trPr>
          <w:cantSplit/>
        </w:trPr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Reliability</w:t>
            </w:r>
          </w:p>
        </w:tc>
        <w:tc>
          <w:tcPr>
            <w:tcW w:type="dxa" w:w="7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Ingestion error handling, idempotent data actions, monitoring checklist (D8)</w:t>
            </w:r>
          </w:p>
        </w:tc>
      </w:tr>
      <w:tr>
        <w:trPr>
          <w:cantSplit/>
        </w:trPr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Operational Excellence</w:t>
            </w:r>
          </w:p>
        </w:tc>
        <w:tc>
          <w:tcPr>
            <w:tcW w:type="dxa" w:w="7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Data kits, consumption log, documented runbooks</w:t>
            </w:r>
          </w:p>
        </w:tc>
      </w:tr>
      <w:tr>
        <w:trPr>
          <w:cantSplit/>
        </w:trPr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Resource and Cost Optimization</w:t>
            </w:r>
          </w:p>
        </w:tc>
        <w:tc>
          <w:tcPr>
            <w:tcW w:type="dxa" w:w="7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Credit-aware refresh choices (D4, D24), ingest vs federate (D13)</w:t>
            </w:r>
          </w:p>
        </w:tc>
      </w:tr>
      <w:tr>
        <w:trPr>
          <w:cantSplit/>
        </w:trPr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Fairness</w:t>
            </w:r>
          </w:p>
        </w:tc>
        <w:tc>
          <w:tcPr>
            <w:tcW w:type="dxa" w:w="7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Identity-resolution false-merge analysis (D16); segment criteria reviewed for proxies of protected grounds (postal code, language) — in lending, credit offers that track a protected ground are a human-rights problem as well as a design flaw</w:t>
            </w:r>
          </w:p>
        </w:tc>
      </w:tr>
    </w:tbl>
    <w:p>
      <w:pPr>
        <w:spacing w:after="120"/>
      </w:pP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bookmarkStart w:name="s9" w:id="9"/>
      <w:r>
        <w:t xml:space="preserve">9. Exam readiness</w:t>
      </w:r>
      <w:bookmarkEnd w:id="9"/>
    </w:p>
    <w:p>
      <w:pPr>
        <w:spacing w:after="120"/>
      </w:pPr>
      <w:r>
        <w:rPr>
          <w:b/>
          <w:bCs/>
        </w:rPr>
        <w:t xml:space="preserve">Official resources:</w:t>
      </w:r>
      <w:r>
        <w:t xml:space="preserve"> Trailhead trail </w:t>
      </w:r>
      <w:r>
        <w:rPr>
          <w:i/>
          <w:iCs/>
        </w:rPr>
        <w:t xml:space="preserve">Prepare for Your Salesforce Data 360 Consultant Exam</w:t>
      </w:r>
      <w:r>
        <w:t xml:space="preserve"> (about 14 hours across positioning, setup, ingestion, harmonization, enrichment/sharing/analysis, activation, hands-on), the Data 360 Consultant exam guide, Data 360 developer and help documentation.</w:t>
      </w:r>
    </w:p>
    <w:p>
      <w:pPr>
        <w:spacing w:after="120"/>
      </w:pPr>
      <w:r>
        <w:rPr>
          <w:b/>
          <w:bCs/>
        </w:rPr>
        <w:t xml:space="preserve">Plan (4–5 weeks):</w:t>
      </w:r>
      <w:r>
        <w:t xml:space="preserve"> week 1 D1–D8; week 2 D9–D17; week 3 D18–D23; week 4 D24–D29; week 5 two timed mocks + error-log review.</w:t>
      </w:r>
    </w:p>
    <w:p>
      <w:pPr>
        <w:spacing w:after="120"/>
      </w:pPr>
      <w:r>
        <w:rPr>
          <w:b/>
          <w:bCs/>
        </w:rPr>
        <w:t xml:space="preserve">Book when:</w:t>
      </w:r>
      <w:r>
        <w:t xml:space="preserve"> two mocks ≥ 80%, every section has hands-on evidence, and you can explain from memory: stream categories, refresh modes, match rule types, unified link, calculated vs streaming insights, data graphs, segment refresh types, activation vs data action, and credit drivers.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080"/>
      </w:tabs>
    </w:pPr>
    <w:r>
      <w:rPr>
        <w:color w:val="595959"/>
        <w:sz w:val="16"/>
        <w:szCs w:val="16"/>
      </w:rPr>
      <w:t xml:space="preserve">Module 09</w:t>
    </w:r>
    <w:r>
      <w:rPr>
        <w:color w:val="595959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Apex Home Lending · Agentic Architecture Programme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00"/>
      </w:pPr>
    </w:lvl>
    <w:lvl w:ilvl="1" w15:tentative="1">
      <w:start w:val="1"/>
      <w:numFmt w:val="bullet"/>
      <w:lvlText w:val="◦"/>
      <w:lvlJc w:val="left"/>
      <w:pPr>
        <w:ind w:left="1440" w:hanging="300"/>
      </w:pPr>
    </w:lvl>
    <w:lvl w:ilvl="2" w15:tentative="1">
      <w:start w:val="1"/>
      <w:numFmt w:val="bullet"/>
      <w:lvlText w:val="▪"/>
      <w:lvlJc w:val="left"/>
      <w:pPr>
        <w:ind w:left="2160" w:hanging="300"/>
      </w:pPr>
    </w:lvl>
    <w:lvl w:ilvl="3" w15:tentative="1">
      <w:start w:val="1"/>
      <w:numFmt w:val="bullet"/>
      <w:lvlText w:val="–"/>
      <w:lvlJc w:val="left"/>
      <w:pPr>
        <w:ind w:left="288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Title">
    <w:name w:val="Document Title"/>
    <w:basedOn w:val="Normal"/>
    <w:next w:val="Normal"/>
    <w:pPr>
      <w:spacing w:after="240" w:line="252" w:lineRule="auto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8EA9DB" w:sz="6" w:space="2"/>
      </w:pBdr>
      <w:spacing w:after="120" w:before="36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Calibri" w:cs="Calibri" w:eastAsia="Calibri" w:hAnsi="Calibri"/>
      <w:b/>
      <w:bCs/>
      <w:color w:val="1F3864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20"/>
      <w:outlineLvl w:val="2"/>
    </w:pPr>
    <w:rPr>
      <w:rFonts w:ascii="Calibri" w:cs="Calibri" w:eastAsia="Calibri" w:hAnsi="Calibri"/>
      <w:b/>
      <w:bCs/>
      <w:color w:val="2F5496"/>
      <w:sz w:val="22"/>
      <w:szCs w:val="22"/>
    </w:rPr>
  </w:style>
  <w:style w:type="paragraph" w:styleId="Heading4">
    <w:name w:val="Heading 4"/>
    <w:basedOn w:val="Normal"/>
    <w:next w:val="Normal"/>
    <w:qFormat/>
    <w:pPr>
      <w:keepNext/>
      <w:spacing w:after="60" w:before="180"/>
      <w:outlineLvl w:val="3"/>
    </w:pPr>
    <w:rPr>
      <w:rFonts w:ascii="Calibri" w:cs="Calibri" w:eastAsia="Calibri" w:hAnsi="Calibri"/>
      <w:b/>
      <w:bCs/>
      <w:i/>
      <w:iCs/>
      <w:color w:val="2F5496"/>
      <w:sz w:val="21"/>
      <w:szCs w:val="21"/>
    </w:rPr>
  </w:style>
  <w:style w:type="paragraph" w:styleId="Code">
    <w:name w:val="Code"/>
    <w:basedOn w:val="Normal"/>
    <w:pPr>
      <w:spacing w:line="240" w:lineRule="auto"/>
    </w:pPr>
    <w:rPr>
      <w:rFonts w:ascii="Consolas" w:cs="Consolas" w:eastAsia="Consolas" w:hAnsi="Consolas"/>
      <w:sz w:val="16"/>
      <w:szCs w:val="16"/>
    </w:rPr>
  </w:style>
  <w:style w:type="paragraph" w:styleId="CodeLabel">
    <w:name w:val="Code Label"/>
    <w:basedOn w:val="Normal"/>
    <w:pPr>
      <w:keepNext/>
      <w:spacing w:after="0" w:before="120"/>
    </w:pPr>
    <w:rPr>
      <w:rFonts w:ascii="Calibri" w:cs="Calibri" w:eastAsia="Calibri" w:hAnsi="Calibri"/>
      <w:caps/>
      <w:color w:val="7F7F7F"/>
      <w:sz w:val="14"/>
      <w:szCs w:val="14"/>
    </w:rPr>
  </w:style>
  <w:style w:type="paragraph" w:styleId="ContentsHeading">
    <w:name w:val="Contents Heading"/>
    <w:basedOn w:val="Normal"/>
    <w:pPr>
      <w:spacing w:after="80" w:before="240"/>
    </w:pPr>
    <w:rPr>
      <w:rFonts w:ascii="Calibri" w:cs="Calibri" w:eastAsia="Calibri" w:hAnsi="Calibri"/>
      <w:b/>
      <w:bCs/>
      <w:color w:val="1F3864"/>
      <w:sz w:val="24"/>
      <w:szCs w:val="24"/>
    </w:rPr>
  </w:style>
  <w:style w:type="paragraph" w:styleId="ContentsItem">
    <w:name w:val="Contents Item"/>
    <w:basedOn w:val="Normal"/>
    <w:pPr>
      <w:spacing w:after="20"/>
      <w:ind w:left="240"/>
    </w:pPr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09 — Data 360 Consultant Mastery (extending the Apex unified profile)</dc:title>
  <dc:creator>Apex Home Lending programme</dc:creator>
  <dc:description>Generated from 09-data-360-consultant-mastery.md</dc:description>
  <cp:lastModifiedBy>Un-named</cp:lastModifiedBy>
  <cp:revision>1</cp:revision>
  <dcterms:created xsi:type="dcterms:W3CDTF">2026-10-20T04:21:44.227Z</dcterms:created>
  <dcterms:modified xsi:type="dcterms:W3CDTF">2026-10-20T04:21:44.227Z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