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Module 10 — AWS Solutions Architect Mastery (SAA-C03 depth on the Apex AWS estate)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Cover every domain of the AWS Certified Solutions Architect – Associate exam by evolving Apex's AWS landing zone (Project 02) into a resilient, high-performing, cost-optimized platform — and measuring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1"/>
        <w:gridCol w:w="8819"/>
      </w:tblGrid>
      <w:tr>
        <w:trPr>
          <w:cantSplit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Effort</w:t>
            </w:r>
          </w:p>
        </w:tc>
        <w:tc>
          <w:tcPr>
            <w:tcW w:type="dxa" w:w="8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~8 weeks at 8–10 h/week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Accounts</w:t>
            </w:r>
          </w:p>
        </w:tc>
        <w:tc>
          <w:tcPr>
            <w:tcW w:type="dxa" w:w="8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Organizations: management,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apex-sandbox</w:t>
            </w:r>
            <w:r>
              <w:rPr>
                <w:b w:val="false"/>
                <w:bCs w:val="false"/>
                <w:sz w:val="17"/>
                <w:szCs w:val="17"/>
              </w:rPr>
              <w:t xml:space="preserve">, plus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apex-audit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(log archive)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0F3" w:color="auto" w:val="clear"/>
              </w:rPr>
              <w:t xml:space="preserve">apex-dr</w:t>
            </w:r>
            <w:r>
              <w:rPr>
                <w:b w:val="false"/>
                <w:bCs w:val="false"/>
                <w:sz w:val="17"/>
                <w:szCs w:val="17"/>
              </w:rPr>
              <w:t xml:space="preserve"> (optional, for cross-account backup)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Produces</w:t>
            </w:r>
          </w:p>
        </w:tc>
        <w:tc>
          <w:tcPr>
            <w:tcW w:type="dxa" w:w="8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Terraform for every lab, RTO/RPO measurements, load-test results, cost reports, Well-Architected Tool milestones, exam readiness</w:t>
            </w:r>
          </w:p>
        </w:tc>
      </w:tr>
      <w:tr>
        <w:trPr>
          <w:cantSplit/>
        </w:trPr>
        <w:tc>
          <w:tcPr>
            <w:tcW w:type="dxa" w:w="1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Exam</w:t>
            </w:r>
          </w:p>
        </w:tc>
        <w:tc>
          <w:tcPr>
            <w:tcW w:type="dxa" w:w="8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SAA-C03: 50 scored + 15 unscored questions, scaled pass mark 720/1000 ⚠ re-check the official exam guide before booking. AWS's exam-guide pages still show SAA-C03; some third-party sites describe an "SAA-C04" with contradictory dates — trust only aws.amazon.com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ContentsHeading"/>
      </w:pPr>
      <w:r>
        <w:t xml:space="preserve">Contents</w:t>
      </w:r>
    </w:p>
    <w:p>
      <w:pPr>
        <w:pStyle w:val="ContentsItem"/>
      </w:pPr>
      <w:hyperlink w:history="1" w:anchor="s1">
        <w:r>
          <w:rPr>
            <w:color w:val="0563C1"/>
          </w:rPr>
          <w:t xml:space="preserve">0. Cost discipline for this module</w:t>
        </w:r>
      </w:hyperlink>
    </w:p>
    <w:p>
      <w:pPr>
        <w:pStyle w:val="ContentsItem"/>
      </w:pPr>
      <w:hyperlink w:history="1" w:anchor="s2">
        <w:r>
          <w:rPr>
            <w:color w:val="0563C1"/>
          </w:rPr>
          <w:t xml:space="preserve">1. Blueprint and coverage map</w:t>
        </w:r>
      </w:hyperlink>
    </w:p>
    <w:p>
      <w:pPr>
        <w:pStyle w:val="ContentsItem"/>
      </w:pPr>
      <w:hyperlink w:history="1" w:anchor="s3">
        <w:r>
          <w:rPr>
            <w:color w:val="0563C1"/>
          </w:rPr>
          <w:t xml:space="preserve">2. Domain 1 — Secure Architectures (30%)</w:t>
        </w:r>
      </w:hyperlink>
    </w:p>
    <w:p>
      <w:pPr>
        <w:pStyle w:val="ContentsItem"/>
      </w:pPr>
      <w:hyperlink w:history="1" w:anchor="s4">
        <w:r>
          <w:rPr>
            <w:color w:val="0563C1"/>
          </w:rPr>
          <w:t xml:space="preserve">3. Domain 2 — Resilient Architectures (26%)</w:t>
        </w:r>
      </w:hyperlink>
    </w:p>
    <w:p>
      <w:pPr>
        <w:pStyle w:val="ContentsItem"/>
      </w:pPr>
      <w:hyperlink w:history="1" w:anchor="s5">
        <w:r>
          <w:rPr>
            <w:color w:val="0563C1"/>
          </w:rPr>
          <w:t xml:space="preserve">4. Domain 3 — High-Performing Architectures (24%)</w:t>
        </w:r>
      </w:hyperlink>
    </w:p>
    <w:p>
      <w:pPr>
        <w:pStyle w:val="ContentsItem"/>
      </w:pPr>
      <w:hyperlink w:history="1" w:anchor="s6">
        <w:r>
          <w:rPr>
            <w:color w:val="0563C1"/>
          </w:rPr>
          <w:t xml:space="preserve">5. Domain 4 — Cost-Optimized Architectures (20%)</w:t>
        </w:r>
      </w:hyperlink>
    </w:p>
    <w:p>
      <w:pPr>
        <w:pStyle w:val="ContentsItem"/>
      </w:pPr>
      <w:hyperlink w:history="1" w:anchor="s7">
        <w:r>
          <w:rPr>
            <w:color w:val="0563C1"/>
          </w:rPr>
          <w:t xml:space="preserve">6. Service coverage checklist (tick when you've used or designed each)</w:t>
        </w:r>
      </w:hyperlink>
    </w:p>
    <w:p>
      <w:pPr>
        <w:pStyle w:val="ContentsItem"/>
      </w:pPr>
      <w:hyperlink w:history="1" w:anchor="s8">
        <w:r>
          <w:rPr>
            <w:color w:val="0563C1"/>
          </w:rPr>
          <w:t xml:space="preserve">7. Well-Architected tie-in</w:t>
        </w:r>
      </w:hyperlink>
    </w:p>
    <w:p>
      <w:pPr>
        <w:pStyle w:val="ContentsItem"/>
      </w:pPr>
      <w:hyperlink w:history="1" w:anchor="s9">
        <w:r>
          <w:rPr>
            <w:color w:val="0563C1"/>
          </w:rPr>
          <w:t xml:space="preserve">8. Exam readiness</w:t>
        </w:r>
      </w:hyperlink>
    </w:p>
    <w:p>
      <w:pPr>
        <w:pBdr>
          <w:bottom w:val="single" w:color="BFBFBF" w:sz="6" w:space="4"/>
        </w:pBdr>
      </w:pPr>
    </w:p>
    <w:p>
      <w:pPr>
        <w:pStyle w:val="Heading1"/>
      </w:pPr>
      <w:bookmarkStart w:name="s1" w:id="1"/>
      <w:r>
        <w:t xml:space="preserve">0. Cost discipline for this module</w:t>
      </w:r>
      <w:bookmarkEnd w:id="1"/>
    </w:p>
    <w:p>
      <w:pPr>
        <w:spacing w:after="120"/>
      </w:pPr>
      <w:r>
        <w:t xml:space="preserve">Several labs use billable services (ALB, NAT, RDS Multi-AZ, ElastiCache, Kinesis).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lab is a Terraform module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enabled</w:t>
      </w:r>
      <w:r>
        <w:t xml:space="preserve"> variable; </w:t>
      </w:r>
      <w:r>
        <w:rPr>
          <w:b/>
          <w:bCs/>
        </w:rPr>
        <w:t xml:space="preserve">apply → test → capture evidence → destroy</w:t>
      </w:r>
      <w:r>
        <w:t xml:space="preserve"> in the same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infracost</w:t>
      </w:r>
      <w:r>
        <w:t xml:space="preserve"> (optional) or the AWS Pricing Calculator before each lab; write the estimate in the lab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$50 budget alarm from Project 02; add a </w:t>
      </w:r>
      <w:r>
        <w:rPr>
          <w:b/>
          <w:bCs/>
        </w:rPr>
        <w:t xml:space="preserve">daily</w:t>
      </w:r>
      <w:r>
        <w:t xml:space="preserve"> $5 anomaly alert during this module.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2" w:id="2"/>
      <w:r>
        <w:t xml:space="preserve">1. Blueprint and coverage map</w:t>
      </w:r>
      <w:bookmarkEnd w:id="2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2"/>
        <w:gridCol w:w="988"/>
        <w:gridCol w:w="4531"/>
        <w:gridCol w:w="1189"/>
      </w:tblGrid>
      <w:tr>
        <w:trPr>
          <w:cantSplit/>
          <w:tblHeader/>
        </w:trPr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Covered in Project 02/07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module</w:t>
            </w:r>
          </w:p>
        </w:tc>
      </w:tr>
      <w:tr>
        <w:trPr>
          <w:cantSplit/>
        </w:trPr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1. Design Secure Architectures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30%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IAM Identity Center, KMS, S3 policies, endpoints, API JWT auth, CloudTrail, GuardDuty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S1–S10</w:t>
            </w:r>
          </w:p>
        </w:tc>
      </w:tr>
      <w:tr>
        <w:trPr>
          <w:cantSplit/>
        </w:trPr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2. Design Resilient Architectures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26%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SQS DLQ, idempotency, EventBridge archive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R1–R9</w:t>
            </w:r>
          </w:p>
        </w:tc>
      </w:tr>
      <w:tr>
        <w:trPr>
          <w:cantSplit/>
        </w:trPr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3. Design High-Performing Architectures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24%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Lambda, DynamoDB basics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H1–H9</w:t>
            </w:r>
          </w:p>
        </w:tc>
      </w:tr>
      <w:tr>
        <w:trPr>
          <w:cantSplit/>
        </w:trPr>
        <w:tc>
          <w:tcPr>
            <w:tcW w:type="dxa" w:w="3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4. Design Cost-Optimized Architectures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4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Budgets, endpoints vs NAT, lifecycle</w:t>
            </w:r>
          </w:p>
        </w:tc>
        <w:tc>
          <w:tcPr>
            <w:tcW w:type="dxa" w:w="11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C1–C8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New workload introduced for this module: </w:t>
      </w:r>
      <w:r>
        <w:rPr>
          <w:b/>
          <w:bCs/>
        </w:rPr>
        <w:t xml:space="preserve">Apex Documents Service</w:t>
      </w:r>
      <w:r>
        <w:t xml:space="preserve"> — a containerized FastAPI app that serves borrowers' mortgage statements, annual statements and payment schedules, accepts secure uploads (income and down-payment documents) and shows a summary page; it exercises load balancing, auto scaling, caching, and DR. It isn't the portal: the borrower portal is the Experience Cloud site (Module 12 S1), and borrowers sign in to both with the Cognito pool from S9 (Project 13, ADR-031).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3" w:id="3"/>
      <w:r>
        <w:t xml:space="preserve">2. Domain 1 — Secure Architectures (30%)</w:t>
      </w:r>
      <w:bookmarkEnd w:id="3"/>
    </w:p>
    <w:p>
      <w:pPr>
        <w:pStyle w:val="Heading2"/>
      </w:pPr>
      <w:r>
        <w:t xml:space="preserve">S1 — Multi-account governance with SCPs</w:t>
      </w:r>
    </w:p>
    <w:p>
      <w:pPr>
        <w:spacing w:after="120"/>
      </w:pPr>
      <w:r>
        <w:rPr>
          <w:b/>
          <w:bCs/>
        </w:rPr>
        <w:t xml:space="preserve">Build:</w:t>
      </w:r>
      <w:r>
        <w:t xml:space="preserve"> OUs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Security</w:t>
      </w:r>
      <w:r>
        <w:t xml:space="preserve"> (apex-audit) and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Workloads</w:t>
      </w:r>
      <w:r>
        <w:t xml:space="preserve"> (apex-sandbox, apex-dr). SCPs: deny leaving the org; deny disabling CloudTrail/GuardDuty/Config; </w:t>
      </w:r>
      <w:r>
        <w:rPr>
          <w:b/>
          <w:bCs/>
        </w:rPr>
        <w:t xml:space="preserve">region allowlist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ca-central-1</w:t>
      </w:r>
      <w:r>
        <w:t xml:space="preserve">, plus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us-east-1</w:t>
      </w:r>
      <w:r>
        <w:t xml:space="preserve"> for global services and any AgentCore region from ADR-021); deny root user actions in member accounts.
</w:t>
      </w:r>
      <w:r>
        <w:rPr>
          <w:b/>
          <w:bCs/>
        </w:rPr>
        <w:t xml:space="preserve">Test:</w:t>
      </w:r>
      <w:r>
        <w:t xml:space="preserve"> in apex-sandbox, try to create an S3 bucket 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eu-west-1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AccessDenied</w:t>
      </w:r>
      <w:r>
        <w:t xml:space="preserve"> with an explicit SCP deny in the error.
</w:t>
      </w:r>
      <w:r>
        <w:rPr>
          <w:b/>
          <w:bCs/>
        </w:rPr>
        <w:t xml:space="preserve">Exam angle:</w:t>
      </w:r>
      <w:r>
        <w:t xml:space="preserve"> SCPs never grant; effective permission = identity policy ∩ SCP ∩ permission boundary ∩ session policy, minus explicit denies, plus resource policies for cross-account.</w:t>
      </w:r>
    </w:p>
    <w:p>
      <w:pPr>
        <w:pStyle w:val="Heading2"/>
      </w:pPr>
      <w:r>
        <w:t xml:space="preserve">S2 — IAM policy evaluation lab</w:t>
      </w:r>
    </w:p>
    <w:p>
      <w:pPr>
        <w:spacing w:after="120"/>
      </w:pPr>
      <w:r>
        <w:t xml:space="preserve">Write five policies and predict outcomes before testing with the </w:t>
      </w:r>
      <w:r>
        <w:rPr>
          <w:b/>
          <w:bCs/>
        </w:rPr>
        <w:t xml:space="preserve">IAM Policy Simulator</w:t>
      </w:r>
      <w:r>
        <w:t xml:space="preserve"> and </w:t>
      </w:r>
      <w:r>
        <w:rPr>
          <w:b/>
          <w:bCs/>
        </w:rPr>
        <w:t xml:space="preserve">IAM Access Analyzer policy validation</w:t>
      </w:r>
      <w:r>
        <w:t xml:space="preserve">: identity allow + resource deny; cross-account role with external ID; permission boundary limiting a developer-created role; condition keys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aws:SourceVpce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aws:PrincipalOrgID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aws:RequestedRegion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aws:MultiFactorAuthPresent</w:t>
      </w:r>
      <w:r>
        <w:t xml:space="preserve">); tag-based ABAC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aws:ResourceTag/env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aws:PrincipalTag/env</w:t>
      </w:r>
      <w:r>
        <w:t xml:space="preserve">).</w:t>
      </w:r>
    </w:p>
    <w:p>
      <w:pPr>
        <w:pStyle w:val="Heading2"/>
      </w:pPr>
      <w:r>
        <w:t xml:space="preserve">S3 — Centralized logging to the audit account</w:t>
      </w:r>
    </w:p>
    <w:p>
      <w:pPr>
        <w:spacing w:after="120"/>
      </w:pPr>
      <w:r>
        <w:t xml:space="preserve">Org CloudTrail (management + data events for the landing bucket) → bucket in </w:t>
      </w:r>
      <w:r>
        <w:rPr>
          <w:b/>
          <w:bCs/>
        </w:rPr>
        <w:t xml:space="preserve">apex-audit</w:t>
      </w:r>
      <w:r>
        <w:t xml:space="preserve"> with Object Lock (governance mode, 90 days) and a bucket policy restricted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aws:SourceOrgID</w:t>
      </w:r>
      <w:r>
        <w:t xml:space="preserve">; Config aggregator in apex-audit; GuardDuty delegated administrator = apex-audit.</w:t>
      </w:r>
    </w:p>
    <w:p>
      <w:pPr>
        <w:pStyle w:val="Heading2"/>
      </w:pPr>
      <w:r>
        <w:t xml:space="preserve">S4 — KMS deep dive</w:t>
      </w:r>
    </w:p>
    <w:p>
      <w:pPr>
        <w:spacing w:after="120"/>
      </w:pPr>
      <w:r>
        <w:t xml:space="preserve">Customer managed key with a key policy separating </w:t>
      </w:r>
      <w:r>
        <w:rPr>
          <w:b/>
          <w:bCs/>
        </w:rPr>
        <w:t xml:space="preserve">key administrators</w:t>
      </w:r>
      <w:r>
        <w:t xml:space="preserve"> from </w:t>
      </w:r>
      <w:r>
        <w:rPr>
          <w:b/>
          <w:bCs/>
        </w:rPr>
        <w:t xml:space="preserve">key users</w:t>
      </w:r>
      <w:r>
        <w:t xml:space="preserve">; </w:t>
      </w:r>
      <w:r>
        <w:rPr>
          <w:b/>
          <w:bCs/>
        </w:rPr>
        <w:t xml:space="preserve">grants</w:t>
      </w:r>
      <w:r>
        <w:t xml:space="preserve"> for a Lambda; </w:t>
      </w:r>
      <w:r>
        <w:rPr>
          <w:b/>
          <w:bCs/>
        </w:rPr>
        <w:t xml:space="preserve">multi-Region key</w:t>
      </w:r>
      <w:r>
        <w:t xml:space="preserve"> replica in the DR region; envelope encryption demo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GenerateDataKey</w:t>
      </w:r>
      <w:r>
        <w:t xml:space="preserve"> in Python; S3 Bucket Keys cost effect; what happens when you disable vs schedule deletion.</w:t>
      </w:r>
    </w:p>
    <w:p>
      <w:pPr>
        <w:pStyle w:val="Heading2"/>
      </w:pPr>
      <w:r>
        <w:t xml:space="preserve">S5 — Secrets with rotation</w:t>
      </w:r>
    </w:p>
    <w:p>
      <w:pPr>
        <w:spacing w:after="120"/>
      </w:pPr>
      <w:r>
        <w:t xml:space="preserve">Move the DC-sim Postgres password to </w:t>
      </w:r>
      <w:r>
        <w:rPr>
          <w:b/>
          <w:bCs/>
        </w:rPr>
        <w:t xml:space="preserve">Secrets Manager</w:t>
      </w:r>
      <w:r>
        <w:t xml:space="preserve"> with </w:t>
      </w:r>
      <w:r>
        <w:rPr>
          <w:b/>
          <w:bCs/>
        </w:rPr>
        <w:t xml:space="preserve">automatic rotation</w:t>
      </w:r>
      <w:r>
        <w:t xml:space="preserve"> (managed rotation template for PostgreSQL single-user) on a 30-day schedule; Lambda reads the secret via VPC endpoint; compare with </w:t>
      </w:r>
      <w:r>
        <w:rPr>
          <w:b/>
          <w:bCs/>
        </w:rPr>
        <w:t xml:space="preserve">SSM Parameter Store</w:t>
      </w:r>
      <w:r>
        <w:t xml:space="preserve"> SecureString (cost, rotation, size).</w:t>
      </w:r>
    </w:p>
    <w:p>
      <w:pPr>
        <w:pStyle w:val="Heading2"/>
      </w:pPr>
      <w:r>
        <w:t xml:space="preserve">S6 — Network security layers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apex-workload</w:t>
      </w:r>
      <w:r>
        <w:t xml:space="preserve">: public subnets (ALB), private app subnets, isolated data subnets. Lab: write </w:t>
      </w:r>
      <w:r>
        <w:rPr>
          <w:b/>
          <w:bCs/>
        </w:rPr>
        <w:t xml:space="preserve">NACL</w:t>
      </w:r>
      <w:r>
        <w:t xml:space="preserve"> rules that break return traffic (forget ephemeral ports) and fix them; contrast with </w:t>
      </w:r>
      <w:r>
        <w:rPr>
          <w:b/>
          <w:bCs/>
        </w:rPr>
        <w:t xml:space="preserve">stateful security groups</w:t>
      </w:r>
      <w:r>
        <w:t xml:space="preserve"> referencing other SGs. Enable </w:t>
      </w:r>
      <w:r>
        <w:rPr>
          <w:b/>
          <w:bCs/>
        </w:rPr>
        <w:t xml:space="preserve">VPC Flow Logs</w:t>
      </w:r>
      <w:r>
        <w:t xml:space="preserve"> to S3, query rejected traffic with Athena.
</w:t>
      </w:r>
      <w:r>
        <w:rPr>
          <w:b/>
          <w:bCs/>
        </w:rPr>
        <w:t xml:space="preserve">Exam angle:</w:t>
      </w:r>
      <w:r>
        <w:t xml:space="preserve"> stateless vs stateful; NACL rule ordering; SG references across peered VPCs.</w:t>
      </w:r>
    </w:p>
    <w:p>
      <w:pPr>
        <w:pStyle w:val="Heading2"/>
      </w:pPr>
      <w:r>
        <w:t xml:space="preserve">S7 — Private connectivity patterns</w:t>
      </w:r>
    </w:p>
    <w:p>
      <w:pPr>
        <w:spacing w:after="120"/>
      </w:pPr>
      <w:r>
        <w:t xml:space="preserve">Compare by building the cheapest one and designing the rest: </w:t>
      </w:r>
      <w:r>
        <w:rPr>
          <w:b/>
          <w:bCs/>
        </w:rPr>
        <w:t xml:space="preserve">VPC peering</w:t>
      </w:r>
      <w:r>
        <w:t xml:space="preserve"> (workload ↔ dc-sim), </w:t>
      </w:r>
      <w:r>
        <w:rPr>
          <w:b/>
          <w:bCs/>
        </w:rPr>
        <w:t xml:space="preserve">Transit Gateway</w:t>
      </w:r>
      <w:r>
        <w:t xml:space="preserve"> (hub for workload, dc-sim, future VPCs, VPN), </w:t>
      </w:r>
      <w:r>
        <w:rPr>
          <w:b/>
          <w:bCs/>
        </w:rPr>
        <w:t xml:space="preserve">PrivateLink</w:t>
      </w:r>
      <w:r>
        <w:t xml:space="preserve"> endpoint service (expose the internal summary API from dc-sim via an NLB to the workload VPC without routing). Write the decision table (transitive routing, overlapping CIDRs, cost, scale).</w:t>
      </w:r>
    </w:p>
    <w:p>
      <w:pPr>
        <w:pStyle w:val="Heading2"/>
      </w:pPr>
      <w:r>
        <w:t xml:space="preserve">S8 — Edge protection</w:t>
      </w:r>
    </w:p>
    <w:p>
      <w:pPr>
        <w:spacing w:after="120"/>
      </w:pPr>
      <w:r>
        <w:rPr>
          <w:b/>
          <w:bCs/>
        </w:rPr>
        <w:t xml:space="preserve">CloudFront</w:t>
      </w:r>
      <w:r>
        <w:t xml:space="preserve"> in front of the documents service's ALB with </w:t>
      </w:r>
      <w:r>
        <w:rPr>
          <w:b/>
          <w:bCs/>
        </w:rPr>
        <w:t xml:space="preserve">Origin Access Control</w:t>
      </w:r>
      <w:r>
        <w:t xml:space="preserve"> for static assets in S3; </w:t>
      </w:r>
      <w:r>
        <w:rPr>
          <w:b/>
          <w:bCs/>
        </w:rPr>
        <w:t xml:space="preserve">AWS WAF</w:t>
      </w:r>
      <w:r>
        <w:t xml:space="preserve"> web ACL on CloudFront: AWS managed rule groups (Core, Known Bad Inputs, IP reputation), rate-based rule 1,000 req/5 min/IP, geo rule allowing Canada/US; </w:t>
      </w:r>
      <w:r>
        <w:rPr>
          <w:b/>
          <w:bCs/>
        </w:rPr>
        <w:t xml:space="preserve">Shield Standard</w:t>
      </w:r>
      <w:r>
        <w:t xml:space="preserve"> (automatic) vs </w:t>
      </w:r>
      <w:r>
        <w:rPr>
          <w:b/>
          <w:bCs/>
        </w:rPr>
        <w:t xml:space="preserve">Shield Advanced</w:t>
      </w:r>
      <w:r>
        <w:t xml:space="preserve"> (when/why). Remember from Project 02: HTTP APIs don't take WAF directly — CloudFront fixes that.</w:t>
      </w:r>
    </w:p>
    <w:p>
      <w:pPr>
        <w:pStyle w:val="Heading2"/>
      </w:pPr>
      <w:r>
        <w:t xml:space="preserve">S9 — Customer identity: Cognito vs Okta</w:t>
      </w:r>
    </w:p>
    <w:p>
      <w:pPr>
        <w:spacing w:after="120"/>
      </w:pPr>
      <w:r>
        <w:t xml:space="preserve">Create a </w:t>
      </w:r>
      <w:r>
        <w:rPr>
          <w:b/>
          <w:bCs/>
        </w:rPr>
        <w:t xml:space="preserve">Cognito user pool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apex-borrowers</w:t>
      </w:r>
      <w:r>
        <w:t xml:space="preserve"> for borrower sign-in (MFA, hosted/managed login, app client with PKCE; users are created by Apex once the loan is boarded, not self-registered — Module 15 IA4 explains why; before that, applicants upload documents through single-use links, Project 13 §3) and an </w:t>
      </w:r>
      <w:r>
        <w:rPr>
          <w:b/>
          <w:bCs/>
        </w:rPr>
        <w:t xml:space="preserve">identity pool</w:t>
      </w:r>
      <w:r>
        <w:t xml:space="preserve"> granting temporary S3 access to the user's own prefix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${cognito-identity.amazonaws.com:sub}</w:t>
      </w:r>
      <w:r>
        <w:t xml:space="preserve">); write ADR: workforce identity (Okta) vs customer identity (Cognito). This pool becomes the single borrower identity for the documents service and the Experience Cloud portal (Project 13, ADR-031).</w:t>
      </w:r>
    </w:p>
    <w:p>
      <w:pPr>
        <w:pStyle w:val="Heading2"/>
      </w:pPr>
      <w:r>
        <w:t xml:space="preserve">S10 — Data protection services</w:t>
      </w:r>
    </w:p>
    <w:p>
      <w:pPr>
        <w:spacing w:after="120"/>
      </w:pPr>
      <w:r>
        <w:rPr>
          <w:b/>
          <w:bCs/>
        </w:rPr>
        <w:t xml:space="preserve">Macie</w:t>
      </w:r>
      <w:r>
        <w:t xml:space="preserve"> discovery job on the landing bucket (find seeded emails/phones; Canadian SIN pattern via custom data identifier); </w:t>
      </w:r>
      <w:r>
        <w:rPr>
          <w:b/>
          <w:bCs/>
        </w:rPr>
        <w:t xml:space="preserve">Inspector</w:t>
      </w:r>
      <w:r>
        <w:t xml:space="preserve"> for the EC2 and ECR images; </w:t>
      </w:r>
      <w:r>
        <w:rPr>
          <w:b/>
          <w:bCs/>
        </w:rPr>
        <w:t xml:space="preserve">ACM</w:t>
      </w:r>
      <w:r>
        <w:t xml:space="preserve"> certificates for CloudFront (us-east-1) and ALB (ca-central-1); </w:t>
      </w:r>
      <w:r>
        <w:rPr>
          <w:b/>
          <w:bCs/>
        </w:rPr>
        <w:t xml:space="preserve">Security Hub</w:t>
      </w:r>
      <w:r>
        <w:t xml:space="preserve"> with AWS Foundational Security Best Practices standard — remediate 5 findings.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4" w:id="4"/>
      <w:r>
        <w:t xml:space="preserve">3. Domain 2 — Resilient Architectures (26%)</w:t>
      </w:r>
      <w:bookmarkEnd w:id="4"/>
    </w:p>
    <w:p>
      <w:pPr>
        <w:pStyle w:val="Heading2"/>
      </w:pPr>
      <w:r>
        <w:t xml:space="preserve">R1 — Multi-AZ web tier</w:t>
      </w:r>
    </w:p>
    <w:p>
      <w:pPr>
        <w:spacing w:after="120"/>
      </w:pPr>
      <w:r>
        <w:rPr>
          <w:b/>
          <w:bCs/>
        </w:rPr>
        <w:t xml:space="preserve">Build:</w:t>
      </w:r>
      <w:r>
        <w:t xml:space="preserve"> containerize the documents service → </w:t>
      </w:r>
      <w:r>
        <w:rPr>
          <w:b/>
          <w:bCs/>
        </w:rPr>
        <w:t xml:space="preserve">ECR</w:t>
      </w:r>
      <w:r>
        <w:t xml:space="preserve"> → run on </w:t>
      </w:r>
      <w:r>
        <w:rPr>
          <w:b/>
          <w:bCs/>
        </w:rPr>
        <w:t xml:space="preserve">ECS Fargate</w:t>
      </w:r>
      <w:r>
        <w:t xml:space="preserve"> service (desired 2, spread across 2 AZs) behind an </w:t>
      </w:r>
      <w:r>
        <w:rPr>
          <w:b/>
          <w:bCs/>
        </w:rPr>
        <w:t xml:space="preserve">Application Load Balancer</w:t>
      </w:r>
      <w:r>
        <w:t xml:space="preserve"> (HTTPS listener, target group health checks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/health</w:t>
      </w:r>
      <w:r>
        <w:t xml:space="preserve">, deregistration delay 30 s). Alternative variant: </w:t>
      </w:r>
      <w:r>
        <w:rPr>
          <w:b/>
          <w:bCs/>
        </w:rPr>
        <w:t xml:space="preserve">EC2 Auto Scaling group</w:t>
      </w:r>
      <w:r>
        <w:t xml:space="preserve"> with a launch template (min 2, max 6, target tracking CPU 50%).
</w:t>
      </w:r>
      <w:r>
        <w:rPr>
          <w:b/>
          <w:bCs/>
        </w:rPr>
        <w:t xml:space="preserve">Test:</w:t>
      </w:r>
      <w:r>
        <w:t xml:space="preserve"> stop one task/instance → service recovers, no failed requests in a 5-minute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hey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k6</w:t>
      </w:r>
      <w:r>
        <w:t xml:space="preserve"> load test.</w:t>
      </w:r>
    </w:p>
    <w:p>
      <w:pPr>
        <w:pStyle w:val="Heading2"/>
      </w:pPr>
      <w:r>
        <w:t xml:space="preserve">R2 — Auto scaling behaviours</w:t>
      </w:r>
    </w:p>
    <w:p>
      <w:pPr>
        <w:spacing w:after="120"/>
      </w:pPr>
      <w:r>
        <w:t xml:space="preserve">Target tracking vs step scaling vs scheduled scaling (scale up 08:00 Pacific on business days); warm pools concept; cooldowns; ALB request count per target as the metric. Record the scaling timeline under load.</w:t>
      </w:r>
    </w:p>
    <w:p>
      <w:pPr>
        <w:pStyle w:val="Heading2"/>
      </w:pPr>
      <w:r>
        <w:t xml:space="preserve">R3 — Managed database resilience</w:t>
      </w:r>
    </w:p>
    <w:p>
      <w:pPr>
        <w:spacing w:after="120"/>
      </w:pPr>
      <w:r>
        <w:rPr>
          <w:b/>
          <w:bCs/>
        </w:rPr>
        <w:t xml:space="preserve">RDS for PostgreSQL</w:t>
      </w:r>
      <w:r>
        <w:t xml:space="preserve"> copy of the servicing schema: create Single-AZ (free tier) → modify to </w:t>
      </w:r>
      <w:r>
        <w:rPr>
          <w:b/>
          <w:bCs/>
        </w:rPr>
        <w:t xml:space="preserve">Multi-AZ</w:t>
      </w:r>
      <w:r>
        <w:t xml:space="preserve"> for the test window →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reboot with failover</w:t>
      </w:r>
      <w:r>
        <w:t xml:space="preserve"> → measure downtime from the app's perspective → add a </w:t>
      </w:r>
      <w:r>
        <w:rPr>
          <w:b/>
          <w:bCs/>
        </w:rPr>
        <w:t xml:space="preserve">read replica</w:t>
      </w:r>
      <w:r>
        <w:t xml:space="preserve"> and route reporting queries to it → promote the replica (DR simulation) → revert and destroy. Compare with </w:t>
      </w:r>
      <w:r>
        <w:rPr>
          <w:b/>
          <w:bCs/>
        </w:rPr>
        <w:t xml:space="preserve">Aurora</w:t>
      </w:r>
      <w:r>
        <w:t xml:space="preserve"> (storage replication, Aurora Replicas, Global Database) in notes.
</w:t>
      </w:r>
      <w:r>
        <w:rPr>
          <w:b/>
          <w:bCs/>
        </w:rPr>
        <w:t xml:space="preserve">Exam angle:</w:t>
      </w:r>
      <w:r>
        <w:t xml:space="preserve"> Multi-AZ = availability (synchronous standby, not readable for classic Multi-AZ instance); read replicas = read scaling + DR (asynchronous). Also know the </w:t>
      </w:r>
      <w:r>
        <w:rPr>
          <w:b/>
          <w:bCs/>
        </w:rPr>
        <w:t xml:space="preserve">Multi-AZ DB cluster</w:t>
      </w:r>
      <w:r>
        <w:t xml:space="preserve"> deployment (one writer plus two readable standbys) and how it differs from a Multi-AZ DB instance.</w:t>
      </w:r>
    </w:p>
    <w:p>
      <w:pPr>
        <w:pStyle w:val="Heading2"/>
      </w:pPr>
      <w:r>
        <w:t xml:space="preserve">R4 — Decoupling and back-pressure</w:t>
      </w:r>
    </w:p>
    <w:p>
      <w:pPr>
        <w:spacing w:after="120"/>
      </w:pPr>
      <w:r>
        <w:t xml:space="preserve">Document requests from the documents service → </w:t>
      </w:r>
      <w:r>
        <w:rPr>
          <w:b/>
          <w:bCs/>
        </w:rPr>
        <w:t xml:space="preserve">SQS</w:t>
      </w:r>
      <w:r>
        <w:t xml:space="preserve"> (standard) → worker; compare </w:t>
      </w:r>
      <w:r>
        <w:rPr>
          <w:b/>
          <w:bCs/>
        </w:rPr>
        <w:t xml:space="preserve">SNS fan-out</w:t>
      </w:r>
      <w:r>
        <w:t xml:space="preserve"> to multiple SQS queues; </w:t>
      </w:r>
      <w:r>
        <w:rPr>
          <w:b/>
          <w:bCs/>
        </w:rPr>
        <w:t xml:space="preserve">FIFO</w:t>
      </w:r>
      <w:r>
        <w:t xml:space="preserve"> with message groups per borrower; visibility timeout tuning; DLQ redrive; </w:t>
      </w:r>
      <w:r>
        <w:rPr>
          <w:b/>
          <w:bCs/>
        </w:rPr>
        <w:t xml:space="preserve">EventBridge</w:t>
      </w:r>
      <w:r>
        <w:t xml:space="preserve"> vs </w:t>
      </w:r>
      <w:r>
        <w:rPr>
          <w:b/>
          <w:bCs/>
        </w:rPr>
        <w:t xml:space="preserve">SNS</w:t>
      </w:r>
      <w:r>
        <w:t xml:space="preserve"> vs </w:t>
      </w:r>
      <w:r>
        <w:rPr>
          <w:b/>
          <w:bCs/>
        </w:rPr>
        <w:t xml:space="preserve">SQS</w:t>
      </w:r>
      <w:r>
        <w:t xml:space="preserve"> decision table.</w:t>
      </w:r>
    </w:p>
    <w:p>
      <w:pPr>
        <w:pStyle w:val="Heading2"/>
      </w:pPr>
      <w:r>
        <w:t xml:space="preserve">R5 — DNS-level resilience</w:t>
      </w:r>
    </w:p>
    <w:p>
      <w:pPr>
        <w:spacing w:after="120"/>
      </w:pPr>
      <w:r>
        <w:rPr>
          <w:b/>
          <w:bCs/>
        </w:rPr>
        <w:t xml:space="preserve">Route 53</w:t>
      </w:r>
      <w:r>
        <w:t xml:space="preserve"> hosted zone; health check on the ALB; </w:t>
      </w:r>
      <w:r>
        <w:rPr>
          <w:b/>
          <w:bCs/>
        </w:rPr>
        <w:t xml:space="preserve">failover routing</w:t>
      </w:r>
      <w:r>
        <w:t xml:space="preserve"> to a static S3 website "service temporarily degraded" in the DR region; then </w:t>
      </w:r>
      <w:r>
        <w:rPr>
          <w:b/>
          <w:bCs/>
        </w:rPr>
        <w:t xml:space="preserve">latency</w:t>
      </w:r>
      <w:r>
        <w:t xml:space="preserve"> and </w:t>
      </w:r>
      <w:r>
        <w:rPr>
          <w:b/>
          <w:bCs/>
        </w:rPr>
        <w:t xml:space="preserve">weighted</w:t>
      </w:r>
      <w:r>
        <w:t xml:space="preserve"> routing variants (canary 10%). Measure failover time with TTL 60.</w:t>
      </w:r>
    </w:p>
    <w:p>
      <w:pPr>
        <w:pStyle w:val="Heading2"/>
      </w:pPr>
      <w:r>
        <w:t xml:space="preserve">R6 — Backup strategy</w:t>
      </w:r>
    </w:p>
    <w:p>
      <w:pPr>
        <w:spacing w:after="120"/>
      </w:pPr>
      <w:r>
        <w:rPr>
          <w:b/>
          <w:bCs/>
        </w:rPr>
        <w:t xml:space="preserve">AWS Backup</w:t>
      </w:r>
      <w:r>
        <w:t xml:space="preserve"> plan: daily RDS snapshots, EBS of the DC-sim host, DynamoDB tables; 35-day retention; </w:t>
      </w:r>
      <w:r>
        <w:rPr>
          <w:b/>
          <w:bCs/>
        </w:rPr>
        <w:t xml:space="preserve">copy to apex-dr account and DR region</w:t>
      </w:r>
      <w:r>
        <w:t xml:space="preserve">; </w:t>
      </w:r>
      <w:r>
        <w:rPr>
          <w:b/>
          <w:bCs/>
        </w:rPr>
        <w:t xml:space="preserve">Vault Lock in governance mode</w:t>
      </w:r>
      <w:r>
        <w:t xml:space="preserve"> for the lab — compliance mode becomes immutable after its grace period (you can't delete the vault or shorten retention), so only read about it. Restore test: restore RDS snapshot to a new instance; record </w:t>
      </w:r>
      <w:r>
        <w:rPr>
          <w:b/>
          <w:bCs/>
        </w:rPr>
        <w:t xml:space="preserve">RTO</w:t>
      </w:r>
      <w:r>
        <w:t xml:space="preserve"> (time to available) and </w:t>
      </w:r>
      <w:r>
        <w:rPr>
          <w:b/>
          <w:bCs/>
        </w:rPr>
        <w:t xml:space="preserve">RPO</w:t>
      </w:r>
      <w:r>
        <w:t xml:space="preserve"> (data loss window).</w:t>
      </w:r>
    </w:p>
    <w:p>
      <w:pPr>
        <w:pStyle w:val="Heading2"/>
      </w:pPr>
      <w:r>
        <w:t xml:space="preserve">R7 — DR strategies, implemented and measured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3642"/>
        <w:gridCol w:w="1208"/>
      </w:tblGrid>
      <w:tr>
        <w:trPr>
          <w:cantSplit/>
          <w:tblHeader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 for Apex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RTO/RPO you measure</w:t>
            </w:r>
          </w:p>
        </w:tc>
      </w:tr>
      <w:tr>
        <w:trPr>
          <w:cantSplit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Backup &amp; restore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R6 + Terraform re-apply in DR region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Pilot light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DR region: Terraform networking + RDS cross-region replica only; ECS service scaled to 0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Warm standby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ECS service at 1 task in DR region, Route 53 failover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Multi-site active/active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Design only (data consistency, cost)</w:t>
            </w: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 ADR-024: which strategy Apex chooses for the documents service vs the servicing system vs the agent, with cost per month for each. (OSFI's B-13 expects documented recovery objectives for critical technology; payments and funding are the critical paths here, the assistant isn't.)</w:t>
            </w:r>
          </w:p>
        </w:tc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R8 — Storage durability and replication</w:t>
      </w:r>
    </w:p>
    <w:p>
      <w:pPr>
        <w:spacing w:after="120"/>
      </w:pPr>
      <w:r>
        <w:t xml:space="preserve">S3 </w:t>
      </w:r>
      <w:r>
        <w:rPr>
          <w:b/>
          <w:bCs/>
        </w:rPr>
        <w:t xml:space="preserve">versioning + Cross-Region Replication</w:t>
      </w:r>
      <w:r>
        <w:t xml:space="preserve"> of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apex-curated</w:t>
      </w:r>
      <w:r>
        <w:t xml:space="preserve"> to the DR region with KMS multi-Region keys; Replication Time Control concept; </w:t>
      </w:r>
      <w:r>
        <w:rPr>
          <w:b/>
          <w:bCs/>
        </w:rPr>
        <w:t xml:space="preserve">S3 Object Lock</w:t>
      </w:r>
      <w:r>
        <w:t xml:space="preserve"> for compliance records; EFS vs EBS durability and AZ scope.</w:t>
      </w:r>
    </w:p>
    <w:p>
      <w:pPr>
        <w:pStyle w:val="Heading2"/>
      </w:pPr>
      <w:r>
        <w:t xml:space="preserve">R9 — Chaos experiment</w:t>
      </w:r>
    </w:p>
    <w:p>
      <w:pPr>
        <w:spacing w:after="120"/>
      </w:pPr>
      <w:r>
        <w:rPr>
          <w:b/>
          <w:bCs/>
        </w:rPr>
        <w:t xml:space="preserve">AWS Fault Injection Service</w:t>
      </w:r>
      <w:r>
        <w:t xml:space="preserve">: stop tasks in one AZ / inject CPU stress / add latency to the ALB target; hypothesis, steady-state metric, result, fix. Store experiment templates in Terraform.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5" w:id="5"/>
      <w:r>
        <w:t xml:space="preserve">4. Domain 3 — High-Performing Architectures (24%)</w:t>
      </w:r>
      <w:bookmarkEnd w:id="5"/>
    </w:p>
    <w:p>
      <w:pPr>
        <w:pStyle w:val="Heading2"/>
      </w:pPr>
      <w:r>
        <w:t xml:space="preserve">H1 — Compute selection</w:t>
      </w:r>
    </w:p>
    <w:p>
      <w:pPr>
        <w:spacing w:after="120"/>
      </w:pPr>
      <w:r>
        <w:t xml:space="preserve">Write a selection guide and test two: EC2 families (general M, compute C, memory R, burstable T, Graviton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</w:t>
      </w:r>
      <w:r>
        <w:t xml:space="preserve"> suffix), </w:t>
      </w:r>
      <w:r>
        <w:rPr>
          <w:b/>
          <w:bCs/>
        </w:rPr>
        <w:t xml:space="preserve">placement groups</w:t>
      </w:r>
      <w:r>
        <w:t xml:space="preserve"> (cluster, spread, partition), Lambda vs Fargate vs EC2 for the documents service and the batch worker; </w:t>
      </w:r>
      <w:r>
        <w:rPr>
          <w:b/>
          <w:bCs/>
        </w:rPr>
        <w:t xml:space="preserve">Lambda Power Tuning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publish-event</w:t>
      </w:r>
      <w:r>
        <w:t xml:space="preserve"> (128–2048 MB) — chart cost vs duration.</w:t>
      </w:r>
    </w:p>
    <w:p>
      <w:pPr>
        <w:pStyle w:val="Heading2"/>
      </w:pPr>
      <w:r>
        <w:t xml:space="preserve">H2 — Block, file, object storage</w:t>
      </w:r>
    </w:p>
    <w:p>
      <w:pPr>
        <w:spacing w:after="120"/>
      </w:pPr>
      <w:r>
        <w:t xml:space="preserve">Benchmark with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fio</w:t>
      </w:r>
      <w:r>
        <w:t xml:space="preserve"> on the DC-sim host: </w:t>
      </w:r>
      <w:r>
        <w:rPr>
          <w:b/>
          <w:bCs/>
        </w:rPr>
        <w:t xml:space="preserve">gp3</w:t>
      </w:r>
      <w:r>
        <w:t xml:space="preserve"> baseline vs provisioned IOPS/throughput, vs </w:t>
      </w:r>
      <w:r>
        <w:rPr>
          <w:b/>
          <w:bCs/>
        </w:rPr>
        <w:t xml:space="preserve">io2</w:t>
      </w:r>
      <w:r>
        <w:t xml:space="preserve">; instance store concept; </w:t>
      </w:r>
      <w:r>
        <w:rPr>
          <w:b/>
          <w:bCs/>
        </w:rPr>
        <w:t xml:space="preserve">EFS</w:t>
      </w:r>
      <w:r>
        <w:t xml:space="preserve"> (shared, regional, Elastic throughput) vs </w:t>
      </w:r>
      <w:r>
        <w:rPr>
          <w:b/>
          <w:bCs/>
        </w:rPr>
        <w:t xml:space="preserve">FSx</w:t>
      </w:r>
      <w:r>
        <w:t xml:space="preserve"> family (Windows File Server, Lustre for HPC, NetApp ONTAP) — decision table.</w:t>
      </w:r>
    </w:p>
    <w:p>
      <w:pPr>
        <w:pStyle w:val="Heading2"/>
      </w:pPr>
      <w:r>
        <w:t xml:space="preserve">H3 — Caching layers</w:t>
      </w:r>
    </w:p>
    <w:p>
      <w:pPr>
        <w:spacing w:after="120"/>
      </w:pPr>
      <w:r>
        <w:rPr>
          <w:b/>
          <w:bCs/>
        </w:rPr>
        <w:t xml:space="preserve">ElastiCache (Valkey/Redis OSS)</w:t>
      </w:r>
      <w:r>
        <w:t xml:space="preserve"> cache-aside for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GET /borrowers/{id}/summary</w:t>
      </w:r>
      <w:r>
        <w:t xml:space="preserve"> in the documents service (TTL 60 s; the cache key includes the caller's identity to avoid cross-user leakage); measure p95 latency before/after under load; </w:t>
      </w:r>
      <w:r>
        <w:rPr>
          <w:b/>
          <w:bCs/>
        </w:rPr>
        <w:t xml:space="preserve">CloudFront</w:t>
      </w:r>
      <w:r>
        <w:t xml:space="preserve"> caching for static assets and cache-control headers; </w:t>
      </w:r>
      <w:r>
        <w:rPr>
          <w:b/>
          <w:bCs/>
        </w:rPr>
        <w:t xml:space="preserve">API Gateway</w:t>
      </w:r>
      <w:r>
        <w:t xml:space="preserve"> caching (REST APIs) vs CloudFront; </w:t>
      </w:r>
      <w:r>
        <w:rPr>
          <w:b/>
          <w:bCs/>
        </w:rPr>
        <w:t xml:space="preserve">DAX</w:t>
      </w:r>
      <w:r>
        <w:t xml:space="preserve"> for DynamoDB (concept).</w:t>
      </w:r>
    </w:p>
    <w:p>
      <w:pPr>
        <w:pStyle w:val="Heading2"/>
      </w:pPr>
      <w:r>
        <w:t xml:space="preserve">H4 — DynamoDB data modelling</w:t>
      </w:r>
    </w:p>
    <w:p>
      <w:pPr>
        <w:spacing w:after="120"/>
      </w:pPr>
      <w:r>
        <w:t xml:space="preserve">Design a single-table model for documents-service sessions and document requests: PK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BORROWER#&lt;id&gt;</w:t>
      </w:r>
      <w:r>
        <w:t xml:space="preserve">, SK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REQ#&lt;timestamp&gt;</w:t>
      </w:r>
      <w:r>
        <w:t xml:space="preserve">; GSI for "open requests by status"; on-demand vs provisioned + auto scaling; TTL; Streams → Lambda; hot partition avoidance; strongly vs eventually consistent reads; transactions.</w:t>
      </w:r>
    </w:p>
    <w:p>
      <w:pPr>
        <w:pStyle w:val="Heading2"/>
      </w:pPr>
      <w:r>
        <w:t xml:space="preserve">H5 — Streaming ingestion</w:t>
      </w:r>
    </w:p>
    <w:p>
      <w:pPr>
        <w:spacing w:after="120"/>
      </w:pPr>
      <w:r>
        <w:rPr>
          <w:b/>
          <w:bCs/>
        </w:rPr>
        <w:t xml:space="preserve">Kinesis Data Streams</w:t>
      </w:r>
      <w:r>
        <w:t xml:space="preserve"> (documents-service clickstream; provisioned mode with 1 shard is the cheapest lab setup — compare it with on-demand mode, which manages capacity for you) → </w:t>
      </w:r>
      <w:r>
        <w:rPr>
          <w:b/>
          <w:bCs/>
        </w:rPr>
        <w:t xml:space="preserve">Amazon Data Firehose</w:t>
      </w:r>
      <w:r>
        <w:t xml:space="preserve"> → S3 (Parquet via Glue schema) → </w:t>
      </w:r>
      <w:r>
        <w:rPr>
          <w:b/>
          <w:bCs/>
        </w:rPr>
        <w:t xml:space="preserve">Athena</w:t>
      </w:r>
      <w:r>
        <w:t xml:space="preserve"> queries; compare </w:t>
      </w:r>
      <w:r>
        <w:rPr>
          <w:b/>
          <w:bCs/>
        </w:rPr>
        <w:t xml:space="preserve">MSK</w:t>
      </w:r>
      <w:r>
        <w:t xml:space="preserve"> and </w:t>
      </w:r>
      <w:r>
        <w:rPr>
          <w:b/>
          <w:bCs/>
        </w:rPr>
        <w:t xml:space="preserve">SQS</w:t>
      </w:r>
      <w:r>
        <w:t xml:space="preserve"> for the same requirement; shard math (1 MB/s or 1,000 records/s in per shard).</w:t>
      </w:r>
    </w:p>
    <w:p>
      <w:pPr>
        <w:pStyle w:val="Heading2"/>
      </w:pPr>
      <w:r>
        <w:t xml:space="preserve">H6 — Analytics on the lake</w:t>
      </w:r>
    </w:p>
    <w:p>
      <w:pPr>
        <w:spacing w:after="120"/>
      </w:pPr>
      <w:r>
        <w:rPr>
          <w:b/>
          <w:bCs/>
        </w:rPr>
        <w:t xml:space="preserve">Glue Data Catalog</w:t>
      </w:r>
      <w:r>
        <w:t xml:space="preserve"> crawler over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apex-curated/payments/</w:t>
      </w:r>
      <w:r>
        <w:t xml:space="preserve">; </w:t>
      </w:r>
      <w:r>
        <w:rPr>
          <w:b/>
          <w:bCs/>
        </w:rPr>
        <w:t xml:space="preserve">Athena</w:t>
      </w:r>
      <w:r>
        <w:t xml:space="preserve"> with partition projection by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dt</w:t>
      </w:r>
      <w:r>
        <w:t xml:space="preserve">; convert CSV→Parquet with a CTAS query and compare scanned bytes/cost; </w:t>
      </w:r>
      <w:r>
        <w:rPr>
          <w:b/>
          <w:bCs/>
        </w:rPr>
        <w:t xml:space="preserve">Lake Formation</w:t>
      </w:r>
      <w:r>
        <w:t xml:space="preserve"> permissions (column-level: hide payment amounts from analysts) concept; Redshift/Redshift Serverless positioning (and as a Data 360 federation source — Module 09 D13).</w:t>
      </w:r>
    </w:p>
    <w:p>
      <w:pPr>
        <w:pStyle w:val="Heading2"/>
      </w:pPr>
      <w:r>
        <w:t xml:space="preserve">H7 — Data transfer and migration performance</w:t>
      </w:r>
    </w:p>
    <w:p>
      <w:pPr>
        <w:spacing w:after="120"/>
      </w:pPr>
      <w:r>
        <w:t xml:space="preserve">S3 multipart upload and byte-range fetches; </w:t>
      </w:r>
      <w:r>
        <w:rPr>
          <w:b/>
          <w:bCs/>
        </w:rPr>
        <w:t xml:space="preserve">S3 Transfer Acceleration</w:t>
      </w:r>
      <w:r>
        <w:t xml:space="preserve">; </w:t>
      </w:r>
      <w:r>
        <w:rPr>
          <w:b/>
          <w:bCs/>
        </w:rPr>
        <w:t xml:space="preserve">DataSync</w:t>
      </w:r>
      <w:r>
        <w:t xml:space="preserve"> (on-prem NFS → S3) vs </w:t>
      </w:r>
      <w:r>
        <w:rPr>
          <w:b/>
          <w:bCs/>
        </w:rPr>
        <w:t xml:space="preserve">Transfer Family</w:t>
      </w:r>
      <w:r>
        <w:t xml:space="preserve"> (SFTP for the clearing bank's PAD returns files — Project 13 §6) vs </w:t>
      </w:r>
      <w:r>
        <w:rPr>
          <w:b/>
          <w:bCs/>
        </w:rPr>
        <w:t xml:space="preserve">Snow</w:t>
      </w:r>
      <w:r>
        <w:t xml:space="preserve"> family; </w:t>
      </w:r>
      <w:r>
        <w:rPr>
          <w:b/>
          <w:bCs/>
        </w:rPr>
        <w:t xml:space="preserve">DMS</w:t>
      </w:r>
      <w:r>
        <w:t xml:space="preserve"> (Postgres servicing → RDS continuous replication) with a small full-load + CDC test.</w:t>
      </w:r>
    </w:p>
    <w:p>
      <w:pPr>
        <w:pStyle w:val="Heading2"/>
      </w:pPr>
      <w:r>
        <w:t xml:space="preserve">H8 — Application integration performance</w:t>
      </w:r>
    </w:p>
    <w:p>
      <w:pPr>
        <w:spacing w:after="120"/>
      </w:pPr>
      <w:r>
        <w:t xml:space="preserve">API Gateway REST vs HTTP API features/latency; </w:t>
      </w:r>
      <w:r>
        <w:rPr>
          <w:b/>
          <w:bCs/>
        </w:rPr>
        <w:t xml:space="preserve">Step Functions</w:t>
      </w:r>
      <w:r>
        <w:t xml:space="preserve"> Standard vs Express for the address-change saga (re-implement the Project 06 saga as a Step Functions state machine as a comparison); </w:t>
      </w:r>
      <w:r>
        <w:rPr>
          <w:b/>
          <w:bCs/>
        </w:rPr>
        <w:t xml:space="preserve">AppSync</w:t>
      </w:r>
      <w:r>
        <w:t xml:space="preserve"> positioning.</w:t>
      </w:r>
    </w:p>
    <w:p>
      <w:pPr>
        <w:pStyle w:val="Heading2"/>
      </w:pPr>
      <w:r>
        <w:t xml:space="preserve">H9 — Observability for performance</w:t>
      </w:r>
    </w:p>
    <w:p>
      <w:pPr>
        <w:spacing w:after="120"/>
      </w:pPr>
      <w:r>
        <w:t xml:space="preserve">CloudWatch dashboards (ALB p95, ECS CPU/memory, RDS connections, cache hit ratio), </w:t>
      </w:r>
      <w:r>
        <w:rPr>
          <w:b/>
          <w:bCs/>
        </w:rPr>
        <w:t xml:space="preserve">CloudWatch Synthetics</w:t>
      </w:r>
      <w:r>
        <w:t xml:space="preserve"> canary on the documents service, </w:t>
      </w:r>
      <w:r>
        <w:rPr>
          <w:b/>
          <w:bCs/>
        </w:rPr>
        <w:t xml:space="preserve">X-Ray</w:t>
      </w:r>
      <w:r>
        <w:t xml:space="preserve">/ADOT traces, </w:t>
      </w:r>
      <w:r>
        <w:rPr>
          <w:b/>
          <w:bCs/>
        </w:rPr>
        <w:t xml:space="preserve">Container Insights</w:t>
      </w:r>
      <w:r>
        <w:t xml:space="preserve">; alarms with composite logic.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6" w:id="6"/>
      <w:r>
        <w:t xml:space="preserve">5. Domain 4 — Cost-Optimized Architectures (20%)</w:t>
      </w:r>
      <w:bookmarkEnd w:id="6"/>
    </w:p>
    <w:p>
      <w:pPr>
        <w:pStyle w:val="Heading2"/>
      </w:pPr>
      <w:r>
        <w:t xml:space="preserve">C1 — Pricing models</w:t>
      </w:r>
    </w:p>
    <w:p>
      <w:pPr>
        <w:spacing w:after="120"/>
      </w:pPr>
      <w:r>
        <w:t xml:space="preserve">Run the documents-service ASG variant with a </w:t>
      </w:r>
      <w:r>
        <w:rPr>
          <w:b/>
          <w:bCs/>
        </w:rPr>
        <w:t xml:space="preserve">mixed instances policy</w:t>
      </w:r>
      <w:r>
        <w:t xml:space="preserve"> (On-Demand base 1 + </w:t>
      </w:r>
      <w:r>
        <w:rPr>
          <w:b/>
          <w:bCs/>
        </w:rPr>
        <w:t xml:space="preserve">Spot</w:t>
      </w:r>
      <w:r>
        <w:t xml:space="preserve"> for the rest, capacity-optimized, Graviton); document Spot interruption handling; compare </w:t>
      </w:r>
      <w:r>
        <w:rPr>
          <w:b/>
          <w:bCs/>
        </w:rPr>
        <w:t xml:space="preserve">Savings Plans</w:t>
      </w:r>
      <w:r>
        <w:t xml:space="preserve"> (Compute vs EC2 Instance) vs </w:t>
      </w:r>
      <w:r>
        <w:rPr>
          <w:b/>
          <w:bCs/>
        </w:rPr>
        <w:t xml:space="preserve">Reserved Instances</w:t>
      </w:r>
      <w:r>
        <w:t xml:space="preserve"> (standard vs convertible) vs On-Demand for a 24/7 vs business-hours workload with a worked calculation (calculate only — don't buy commitments for a lab).</w:t>
      </w:r>
    </w:p>
    <w:p>
      <w:pPr>
        <w:pStyle w:val="Heading2"/>
      </w:pPr>
      <w:r>
        <w:t xml:space="preserve">C2 — Storage cost optimization</w:t>
      </w:r>
    </w:p>
    <w:p>
      <w:pPr>
        <w:spacing w:after="120"/>
      </w:pPr>
      <w:r>
        <w:t xml:space="preserve">S3 storage classes table (Standard, Intelligent-Tiering, Standard-IA, One Zone-IA, Glacier Instant/Flexible/Deep Archive) with retrieval fees and minimum durations; lifecycle: landing → IA after 30 days → Glacier Flexible after 90 → expire raw after 365; </w:t>
      </w:r>
      <w:r>
        <w:rPr>
          <w:b/>
          <w:bCs/>
        </w:rPr>
        <w:t xml:space="preserve">S3 Storage Lens</w:t>
      </w:r>
      <w:r>
        <w:t xml:space="preserve"> dashboard; EBS gp2→gp3 migration savings; snapshot lifecycle (Data Lifecycle Manager).</w:t>
      </w:r>
    </w:p>
    <w:p>
      <w:pPr>
        <w:pStyle w:val="Heading2"/>
      </w:pPr>
      <w:r>
        <w:t xml:space="preserve">C3 — Network cost</w:t>
      </w:r>
    </w:p>
    <w:p>
      <w:pPr>
        <w:spacing w:after="120"/>
      </w:pPr>
      <w:r>
        <w:t xml:space="preserve">Measure/estimate: NAT Gateway processing vs VPC endpoints (Project 02 decision), cross-AZ data transfer for the ALB→tasks and RDS replicas, internet egress via CloudFront vs direct, inter-region replication costs. Produce a "data transfer map" diagram with $/GB annotations from the current pricing pages.</w:t>
      </w:r>
    </w:p>
    <w:p>
      <w:pPr>
        <w:pStyle w:val="Heading2"/>
      </w:pPr>
      <w:r>
        <w:t xml:space="preserve">C4 — Visibility and allocation</w:t>
      </w:r>
    </w:p>
    <w:p>
      <w:pPr>
        <w:spacing w:after="120"/>
      </w:pPr>
      <w:r>
        <w:t xml:space="preserve">Activate </w:t>
      </w:r>
      <w:r>
        <w:rPr>
          <w:b/>
          <w:bCs/>
        </w:rPr>
        <w:t xml:space="preserve">cost allocation tags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project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EEF0F3" w:color="auto" w:val="clear"/>
        </w:rPr>
        <w:t xml:space="preserve">owner</w:t>
      </w:r>
      <w:r>
        <w:t xml:space="preserve">); </w:t>
      </w:r>
      <w:r>
        <w:rPr>
          <w:b/>
          <w:bCs/>
        </w:rPr>
        <w:t xml:space="preserve">Cost Explorer</w:t>
      </w:r>
      <w:r>
        <w:t xml:space="preserve"> reports by tag/service; </w:t>
      </w:r>
      <w:r>
        <w:rPr>
          <w:b/>
          <w:bCs/>
        </w:rPr>
        <w:t xml:space="preserve">Cost and Usage Report (Data Exports)</w:t>
      </w:r>
      <w:r>
        <w:t xml:space="preserve"> → S3 → Athena query "cost per Apex component per day"; </w:t>
      </w:r>
      <w:r>
        <w:rPr>
          <w:b/>
          <w:bCs/>
        </w:rPr>
        <w:t xml:space="preserve">AWS Budgets actions</w:t>
      </w:r>
      <w:r>
        <w:t xml:space="preserve"> (apply a deny-SCP when sandbox exceeds budget — test with a low threshold).</w:t>
      </w:r>
    </w:p>
    <w:p>
      <w:pPr>
        <w:pStyle w:val="Heading2"/>
      </w:pPr>
      <w:r>
        <w:t xml:space="preserve">C5 — Rightsizing tools</w:t>
      </w:r>
    </w:p>
    <w:p>
      <w:pPr>
        <w:spacing w:after="120"/>
      </w:pPr>
      <w:r>
        <w:rPr>
          <w:b/>
          <w:bCs/>
        </w:rPr>
        <w:t xml:space="preserve">Compute Optimizer</w:t>
      </w:r>
      <w:r>
        <w:t xml:space="preserve"> recommendations for EC2/ECS/Lambda; </w:t>
      </w:r>
      <w:r>
        <w:rPr>
          <w:b/>
          <w:bCs/>
        </w:rPr>
        <w:t xml:space="preserve">Trusted Advisor</w:t>
      </w:r>
      <w:r>
        <w:t xml:space="preserve"> cost checks; </w:t>
      </w:r>
      <w:r>
        <w:rPr>
          <w:b/>
          <w:bCs/>
        </w:rPr>
        <w:t xml:space="preserve">Cost Optimization Hub</w:t>
      </w:r>
      <w:r>
        <w:t xml:space="preserve"> ⚠; act on two recommendations and record savings.</w:t>
      </w:r>
    </w:p>
    <w:p>
      <w:pPr>
        <w:pStyle w:val="Heading2"/>
      </w:pPr>
      <w:r>
        <w:t xml:space="preserve">C6 — Serverless vs containers vs EC2 TCO</w:t>
      </w:r>
    </w:p>
    <w:p>
      <w:pPr>
        <w:spacing w:after="120"/>
      </w:pPr>
      <w:r>
        <w:t xml:space="preserve">For the documents service at 3 traffic profiles (10 req/min, 1,000 req/min, spiky), compute monthly cost for Lambda+API Gateway, Fargate+ALB, EC2 ASG+ALB using the Pricing Calculator; include ops effort qualitatively. Write the trade-off.</w:t>
      </w:r>
    </w:p>
    <w:p>
      <w:pPr>
        <w:pStyle w:val="Heading2"/>
      </w:pPr>
      <w:r>
        <w:t xml:space="preserve">C7 — Database cost choices</w:t>
      </w:r>
    </w:p>
    <w:p>
      <w:pPr>
        <w:spacing w:after="120"/>
      </w:pPr>
      <w:r>
        <w:t xml:space="preserve">RDS vs Aurora Serverless v2 vs DynamoDB on-demand for the document-request workload; storage autoscaling; stopping dev RDS instances (7-day auto-restart caveat).</w:t>
      </w:r>
    </w:p>
    <w:p>
      <w:pPr>
        <w:pStyle w:val="Heading2"/>
      </w:pPr>
      <w:r>
        <w:t xml:space="preserve">C8 — AI workload cost (ties to Project 07)</w:t>
      </w:r>
    </w:p>
    <w:p>
      <w:pPr>
        <w:spacing w:after="120"/>
      </w:pPr>
      <w:r>
        <w:t xml:space="preserve">Bedrock on-demand vs batch inference vs provisioned throughput; prompt caching where supported ⚠; model routing small/large; per-run token budgets; AgentCore consumption — fill the Project 07 cost model with measured numbers. Module 17 does this hands-on (TC1–TC8).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7" w:id="7"/>
      <w:r>
        <w:t xml:space="preserve">6. Service coverage checklist (tick when you've </w:t>
      </w:r>
      <w:r>
        <w:rPr>
          <w:i/>
          <w:iCs/>
        </w:rPr>
        <w:t xml:space="preserve">used</w:t>
      </w:r>
      <w:r>
        <w:t xml:space="preserve"> or </w:t>
      </w:r>
      <w:r>
        <w:rPr>
          <w:i/>
          <w:iCs/>
        </w:rPr>
        <w:t xml:space="preserve">designed</w:t>
      </w:r>
      <w:r>
        <w:t xml:space="preserve"> each)</w:t>
      </w:r>
      <w:bookmarkEnd w:id="7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8242"/>
      </w:tblGrid>
      <w:tr>
        <w:trPr>
          <w:cantSplit/>
          <w:tblHeader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Services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Compute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EC2, Auto Scaling, Lambda, ECS, Fargate, EKS (concept), Elastic Beanstalk (concept), Batch (concept), Outposts (concept)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Storage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S3 (+ classes, lifecycle, replication, Object Lock), EBS, EFS, FSx, Storage Gateway, Backup, Snow family (concept)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RDS, Aurora, DynamoDB (+DAX, Streams, Global Tables), ElastiCache, Redshift, DocumentDB/Neptune/Keyspaces (positioning)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Networking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VPC, subnets, route tables, IGW, NAT, endpoints, PrivateLink, peering, Transit Gateway, VPN, Direct Connect (design), Route 53, CloudFront, Global Accelerator, ELB (ALB/NLB/GWLB)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IAM, Identity Center, Organizations/SCPs, KMS, Secrets Manager, ACM, WAF, Shield, GuardDuty, Inspector, Macie, Security Hub, Config, CloudTrail, Cognito, Detective (concept), Firewall Manager (concept), Network Firewall (concept)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SQS, SNS, EventBridge, Step Functions, API Gateway, AppSync, Kinesis, MSK, Amazon MQ (positioning)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Analytics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Athena, Glue, Lake Formation, EMR (concept), OpenSearch (positioning), QuickSight (concept)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Migration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DMS, DataSync, Transfer Family, Application Migration Service (concept), Migration Hub (concept)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Management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CloudWatch, X-Ray, Systems Manager, CloudFormation (read Terraform's equivalent), Trusted Advisor, Compute Optimizer, Cost Explorer, Budgets, Well-Architected Tool, Control Tower (concept), FIS</w:t>
            </w:r>
          </w:p>
        </w:tc>
      </w:tr>
      <w:tr>
        <w:trPr>
          <w:cantSplit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AI/ML (light on SAA)</w:t>
            </w:r>
          </w:p>
        </w:tc>
        <w:tc>
          <w:tcPr>
            <w:tcW w:type="dxa" w:w="8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Bedrock, SageMaker (positioning), Comprehend/Textract/Rekognition (use-case matching)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8" w:id="8"/>
      <w:r>
        <w:t xml:space="preserve">7. Well-Architected tie-in</w:t>
      </w:r>
      <w:bookmarkEnd w:id="8"/>
    </w:p>
    <w:p>
      <w:pPr>
        <w:spacing w:after="120"/>
      </w:pPr>
      <w:r>
        <w:t xml:space="preserve">Each lab maps to a pillar (S→Security, R→Reliability, H→Performance Efficiency, C→Cost Optimization; R9/H9→Operational Excellence; Graviton, region choice, right-sizing → Sustainability). Module 11 runs the formal review in the </w:t>
      </w:r>
      <w:r>
        <w:rPr>
          <w:b/>
          <w:bCs/>
        </w:rPr>
        <w:t xml:space="preserve">AWS Well-Architected Tool</w:t>
      </w:r>
      <w:r>
        <w:t xml:space="preserve"> with milestones before and after this module.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bookmarkStart w:name="s9" w:id="9"/>
      <w:r>
        <w:t xml:space="preserve">8. Exam readiness</w:t>
      </w:r>
      <w:bookmarkEnd w:id="9"/>
    </w:p>
    <w:p>
      <w:pPr>
        <w:spacing w:after="120"/>
      </w:pPr>
      <w:r>
        <w:rPr>
          <w:b/>
          <w:bCs/>
        </w:rPr>
        <w:t xml:space="preserve">Official resources:</w:t>
      </w:r>
      <w:r>
        <w:t xml:space="preserve"> SAA-C03 exam guide (AWS docs), AWS Skill Builder official practice question set and practice exam, AWS Well-Architected Framework whitepaper and pillar papers, </w:t>
      </w:r>
      <w:r>
        <w:rPr>
          <w:i/>
          <w:iCs/>
        </w:rPr>
        <w:t xml:space="preserve">Disaster Recovery of Workloads on AWS</w:t>
      </w:r>
      <w:r>
        <w:t xml:space="preserve"> whitepaper, service FAQs for S3, EC2, VPC, RDS, DynamoDB.</w:t>
      </w:r>
    </w:p>
    <w:p>
      <w:pPr>
        <w:spacing w:after="120"/>
      </w:pPr>
      <w:r>
        <w:rPr>
          <w:b/>
          <w:bCs/>
        </w:rPr>
        <w:t xml:space="preserve">Plan (8 weeks):</w:t>
      </w:r>
      <w:r>
        <w:t xml:space="preserve"> weeks 1–2 S1–S10; weeks 3–4 R1–R9; weeks 5–6 H1–H9; week 7 C1–C8 + checklist gaps; week 8 three timed mocks.</w:t>
      </w:r>
    </w:p>
    <w:p>
      <w:pPr>
        <w:spacing w:after="120"/>
      </w:pPr>
      <w:r>
        <w:rPr>
          <w:b/>
          <w:bCs/>
        </w:rPr>
        <w:t xml:space="preserve">Technique:</w:t>
      </w:r>
      <w:r>
        <w:t xml:space="preserve"> for each scenario question, underline the </w:t>
      </w:r>
      <w:r>
        <w:rPr>
          <w:i/>
          <w:iCs/>
        </w:rPr>
        <w:t xml:space="preserve">constraint word</w:t>
      </w:r>
      <w:r>
        <w:t xml:space="preserve"> (least operational overhead / most cost-effective / highest availability / minimal changes) — the right answer is usually the managed option that satisfies that one constraint.</w:t>
      </w:r>
    </w:p>
    <w:p>
      <w:pPr>
        <w:spacing w:after="120"/>
      </w:pPr>
      <w:r>
        <w:rPr>
          <w:b/>
          <w:bCs/>
        </w:rPr>
        <w:t xml:space="preserve">Book when:</w:t>
      </w:r>
      <w:r>
        <w:t xml:space="preserve"> three timed mocks ≥ 80% from at least two sources, every domain lab has evidence, and you can draw from memory: a 3-tier Multi-AZ VPC, the four DR strategies with RTO/RPO, and the S3 storage-class lifecycle.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95959"/>
        <w:sz w:val="16"/>
        <w:szCs w:val="16"/>
      </w:rPr>
      <w:t xml:space="preserve">Module 10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Apex Home Lending · Agentic Architecture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440" w:hanging="300"/>
      </w:pPr>
    </w:lvl>
    <w:lvl w:ilvl="2" w15:tentative="1">
      <w:start w:val="1"/>
      <w:numFmt w:val="bullet"/>
      <w:lvlText w:val="▪"/>
      <w:lvlJc w:val="left"/>
      <w:pPr>
        <w:ind w:left="2160" w:hanging="300"/>
      </w:pPr>
    </w:lvl>
    <w:lvl w:ilvl="3" w15:tentative="1">
      <w:start w:val="1"/>
      <w:numFmt w:val="bullet"/>
      <w:lvlText w:val="–"/>
      <w:lvlJc w:val="left"/>
      <w:pPr>
        <w:ind w:left="28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ument Title"/>
    <w:basedOn w:val="Normal"/>
    <w:next w:val="Normal"/>
    <w:pPr>
      <w:spacing w:after="240" w:line="252" w:lineRule="auto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60" w:before="180"/>
      <w:outlineLvl w:val="3"/>
    </w:pPr>
    <w:rPr>
      <w:rFonts w:ascii="Calibri" w:cs="Calibri" w:eastAsia="Calibri" w:hAnsi="Calibri"/>
      <w:b/>
      <w:bCs/>
      <w:i/>
      <w:iCs/>
      <w:color w:val="2F5496"/>
      <w:sz w:val="21"/>
      <w:szCs w:val="21"/>
    </w:rPr>
  </w:style>
  <w:style w:type="paragraph" w:styleId="Code">
    <w:name w:val="Code"/>
    <w:basedOn w:val="Normal"/>
    <w:pPr>
      <w:spacing w:line="240" w:lineRule="auto"/>
    </w:pPr>
    <w:rPr>
      <w:rFonts w:ascii="Consolas" w:cs="Consolas" w:eastAsia="Consolas" w:hAnsi="Consolas"/>
      <w:sz w:val="16"/>
      <w:szCs w:val="16"/>
    </w:rPr>
  </w:style>
  <w:style w:type="paragraph" w:styleId="CodeLabel">
    <w:name w:val="Code Label"/>
    <w:basedOn w:val="Normal"/>
    <w:pPr>
      <w:keepNext/>
      <w:spacing w:after="0" w:before="120"/>
    </w:pPr>
    <w:rPr>
      <w:rFonts w:ascii="Calibri" w:cs="Calibri" w:eastAsia="Calibri" w:hAnsi="Calibri"/>
      <w:caps/>
      <w:color w:val="7F7F7F"/>
      <w:sz w:val="14"/>
      <w:szCs w:val="14"/>
    </w:rPr>
  </w:style>
  <w:style w:type="paragraph" w:styleId="ContentsHeading">
    <w:name w:val="Contents Heading"/>
    <w:basedOn w:val="Normal"/>
    <w:pPr>
      <w:spacing w:after="80" w:before="24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ContentsItem">
    <w:name w:val="Contents Item"/>
    <w:basedOn w:val="Normal"/>
    <w:pPr>
      <w:spacing w:after="20"/>
      <w:ind w:left="240"/>
    </w:pPr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— AWS Solutions Architect Mastery (SAA-C03 depth on the Apex AWS estate)</dc:title>
  <dc:creator>Apex Home Lending programme</dc:creator>
  <dc:description>Generated from 10-aws-solutions-architect-mastery.md</dc:description>
  <cp:lastModifiedBy>Un-named</cp:lastModifiedBy>
  <cp:revision>1</cp:revision>
  <dcterms:created xsi:type="dcterms:W3CDTF">2026-10-20T04:21:44.506Z</dcterms:created>
  <dcterms:modified xsi:type="dcterms:W3CDTF">2026-10-20T04:21:44.506Z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