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Module 12 — Platform Engineering, DevOps &amp; Extended Agentic Topics</w:t>
      </w:r>
    </w:p>
    <w:p>
      <w:pPr>
        <w:spacing w:after="120"/>
      </w:pPr>
      <w:r>
        <w:rPr>
          <w:b/>
          <w:bCs/>
        </w:rPr>
        <w:t xml:space="preserve">Goal:</w:t>
      </w:r>
      <w:r>
        <w:t xml:space="preserve"> Close the remaining gaps between "built a strong solution" and "expert architect": proxies, CloudFormation, free-tier strategy, containers and DevOps, more Salesforce agent types, AWS ML and agent services, intelligent document processing, and agent-to-agent (A2A) orchestration — each placed where it genuinely belongs in the Apex Home Lending platform.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6"/>
        <w:gridCol w:w="8814"/>
      </w:tblGrid>
      <w:tr>
        <w:trPr>
          <w:cantSplit/>
        </w:trPr>
        <w:tc>
          <w:tcPr>
            <w:tcW w:type="dxa" w:w="1266"/>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Effort</w:t>
            </w:r>
          </w:p>
        </w:tc>
        <w:tc>
          <w:tcPr>
            <w:tcW w:type="dxa" w:w="8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~6–7 weeks total, split across phases (see §1)</w:t>
            </w:r>
          </w:p>
        </w:tc>
      </w:tr>
      <w:tr>
        <w:trPr>
          <w:cantSplit/>
        </w:trPr>
        <w:tc>
          <w:tcPr>
            <w:tcW w:type="dxa" w:w="1266"/>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Prereqs</w:t>
            </w:r>
          </w:p>
        </w:tc>
        <w:tc>
          <w:tcPr>
            <w:tcW w:type="dxa" w:w="8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Projects 01–02 for most labs; Project 07 for A2A and agent labs</w:t>
            </w:r>
          </w:p>
        </w:tc>
      </w:tr>
      <w:tr>
        <w:trPr>
          <w:cantSplit/>
        </w:trPr>
        <w:tc>
          <w:tcPr>
            <w:tcW w:type="dxa" w:w="1266"/>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Produces</w:t>
            </w:r>
          </w:p>
        </w:tc>
        <w:tc>
          <w:tcPr>
            <w:tcW w:type="dxa" w:w="8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Proxy patterns, CloudFormation + StackSets, container standards and supply-chain controls, a cross-platform CI/CD system with DORA metrics, an Agentforce service agent, a SageMaker renewal-attrition model feeding Data 360, an income-document IDP flow, a governed A2A delegation to the Credit Policy agent, ADR-025…030</w:t>
            </w:r>
          </w:p>
        </w:tc>
      </w:tr>
      <w:tr>
        <w:trPr>
          <w:cantSplit/>
        </w:trPr>
        <w:tc>
          <w:tcPr>
            <w:tcW w:type="dxa" w:w="1266"/>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Diagrams</w:t>
            </w:r>
          </w:p>
        </w:tc>
        <w:tc>
          <w:tcPr>
            <w:tcW w:type="dxa" w:w="88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diagrams/*/08-a2a-orchestration</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09-devops-pipeline</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10-proxy-patterns</w:t>
            </w:r>
            <w:r>
              <w:rPr>
                <w:b w:val="false"/>
                <w:bCs w:val="false"/>
                <w:sz w:val="17"/>
                <w:szCs w:val="17"/>
              </w:rPr>
              <w:t xml:space="preserve"> (Mermaid + draw.io)</w:t>
            </w:r>
          </w:p>
        </w:tc>
      </w:tr>
    </w:tbl>
    <w:p>
      <w:pPr>
        <w:spacing w:after="120"/>
      </w:pPr>
    </w:p>
    <w:p>
      <w:pPr>
        <w:pBdr>
          <w:bottom w:val="single" w:color="BFBFBF" w:sz="6" w:space="1"/>
        </w:pBdr>
        <w:spacing w:after="120" w:before="120"/>
      </w:pPr>
    </w:p>
    <w:p>
      <w:pPr>
        <w:pStyle w:val="ContentsHeading"/>
      </w:pPr>
      <w:r>
        <w:t xml:space="preserve">Contents</w:t>
      </w:r>
    </w:p>
    <w:p>
      <w:pPr>
        <w:pStyle w:val="ContentsItem"/>
      </w:pPr>
      <w:hyperlink w:history="1" w:anchor="s1">
        <w:r>
          <w:rPr>
            <w:color w:val="0563C1"/>
          </w:rPr>
          <w:t xml:space="preserve">1. Should each topic be included? (decision table)</w:t>
        </w:r>
      </w:hyperlink>
    </w:p>
    <w:p>
      <w:pPr>
        <w:pStyle w:val="ContentsItem"/>
      </w:pPr>
      <w:hyperlink w:history="1" w:anchor="s2">
        <w:r>
          <w:rPr>
            <w:color w:val="0563C1"/>
          </w:rPr>
          <w:t xml:space="preserve">2. Proxies</w:t>
        </w:r>
      </w:hyperlink>
    </w:p>
    <w:p>
      <w:pPr>
        <w:pStyle w:val="ContentsItem"/>
      </w:pPr>
      <w:hyperlink w:history="1" w:anchor="s3">
        <w:r>
          <w:rPr>
            <w:color w:val="0563C1"/>
          </w:rPr>
          <w:t xml:space="preserve">3. CloudFormation (learned by contrast with Terraform)</w:t>
        </w:r>
      </w:hyperlink>
    </w:p>
    <w:p>
      <w:pPr>
        <w:pStyle w:val="ContentsItem"/>
      </w:pPr>
      <w:hyperlink w:history="1" w:anchor="s4">
        <w:r>
          <w:rPr>
            <w:color w:val="0563C1"/>
          </w:rPr>
          <w:t xml:space="preserve">4. Free tier strategy</w:t>
        </w:r>
      </w:hyperlink>
    </w:p>
    <w:p>
      <w:pPr>
        <w:pStyle w:val="ContentsItem"/>
      </w:pPr>
      <w:hyperlink w:history="1" w:anchor="s5">
        <w:r>
          <w:rPr>
            <w:color w:val="0563C1"/>
          </w:rPr>
          <w:t xml:space="preserve">5. Containers and DevOps</w:t>
        </w:r>
      </w:hyperlink>
    </w:p>
    <w:p>
      <w:pPr>
        <w:pStyle w:val="ContentsItem"/>
      </w:pPr>
      <w:hyperlink w:history="1" w:anchor="s6">
        <w:r>
          <w:rPr>
            <w:color w:val="0563C1"/>
          </w:rPr>
          <w:t xml:space="preserve">6. Salesforce agents beyond the employee agent</w:t>
        </w:r>
      </w:hyperlink>
    </w:p>
    <w:p>
      <w:pPr>
        <w:pStyle w:val="ContentsItem"/>
      </w:pPr>
      <w:hyperlink w:history="1" w:anchor="s7">
        <w:r>
          <w:rPr>
            <w:color w:val="0563C1"/>
          </w:rPr>
          <w:t xml:space="preserve">7. AWS ML and agent services</w:t>
        </w:r>
      </w:hyperlink>
    </w:p>
    <w:p>
      <w:pPr>
        <w:pStyle w:val="ContentsItem"/>
      </w:pPr>
      <w:hyperlink w:history="1" w:anchor="s8">
        <w:r>
          <w:rPr>
            <w:color w:val="0563C1"/>
          </w:rPr>
          <w:t xml:space="preserve">8. Intelligent document processing (IDP)</w:t>
        </w:r>
      </w:hyperlink>
    </w:p>
    <w:p>
      <w:pPr>
        <w:pStyle w:val="ContentsItem"/>
      </w:pPr>
      <w:hyperlink w:history="1" w:anchor="s9">
        <w:r>
          <w:rPr>
            <w:color w:val="0563C1"/>
          </w:rPr>
          <w:t xml:space="preserve">9. A2A orchestration (earned, not assumed)</w:t>
        </w:r>
      </w:hyperlink>
    </w:p>
    <w:p>
      <w:pPr>
        <w:pStyle w:val="ContentsItem"/>
      </w:pPr>
      <w:hyperlink w:history="1" w:anchor="s10">
        <w:r>
          <w:rPr>
            <w:color w:val="0563C1"/>
          </w:rPr>
          <w:t xml:space="preserve">10. ADRs from this module</w:t>
        </w:r>
      </w:hyperlink>
    </w:p>
    <w:p>
      <w:pPr>
        <w:pStyle w:val="ContentsItem"/>
      </w:pPr>
      <w:hyperlink w:history="1" w:anchor="s11">
        <w:r>
          <w:rPr>
            <w:color w:val="0563C1"/>
          </w:rPr>
          <w:t xml:space="preserve">11. Interview drill</w:t>
        </w:r>
      </w:hyperlink>
    </w:p>
    <w:p>
      <w:pPr>
        <w:pBdr>
          <w:bottom w:val="single" w:color="BFBFBF" w:sz="6" w:space="4"/>
        </w:pBdr>
      </w:pPr>
    </w:p>
    <w:p>
      <w:pPr>
        <w:pStyle w:val="Heading1"/>
      </w:pPr>
      <w:bookmarkStart w:name="s1" w:id="1"/>
      <w:r>
        <w:t xml:space="preserve">1. Should each topic be included? (decision table)</w:t>
      </w:r>
      <w:bookmarkEnd w:id="1"/>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11"/>
        <w:gridCol w:w="1875"/>
        <w:gridCol w:w="4037"/>
        <w:gridCol w:w="1529"/>
        <w:gridCol w:w="728"/>
      </w:tblGrid>
      <w:tr>
        <w:trPr>
          <w:cantSplit/>
          <w:tblHeader/>
        </w:trPr>
        <w:tc>
          <w:tcPr>
            <w:tcW w:type="dxa" w:w="191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Topic</w:t>
            </w:r>
          </w:p>
        </w:tc>
        <w:tc>
          <w:tcPr>
            <w:tcW w:type="dxa" w:w="187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Verdict</w:t>
            </w:r>
          </w:p>
        </w:tc>
        <w:tc>
          <w:tcPr>
            <w:tcW w:type="dxa" w:w="403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Why</w:t>
            </w:r>
          </w:p>
        </w:tc>
        <w:tc>
          <w:tcPr>
            <w:tcW w:type="dxa" w:w="152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Where it fits</w:t>
            </w:r>
          </w:p>
        </w:tc>
        <w:tc>
          <w:tcPr>
            <w:tcW w:type="dxa" w:w="72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Labs</w:t>
            </w:r>
          </w:p>
        </w:tc>
      </w:tr>
      <w:tr>
        <w:trPr>
          <w:cantSplit/>
        </w:trPr>
        <w:tc>
          <w:tcPr>
            <w:tcW w:type="dxa" w:w="1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Forward proxy</w:t>
            </w:r>
          </w:p>
        </w:tc>
        <w:tc>
          <w:tcPr>
            <w:tcW w:type="dxa" w:w="18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Include (small)</w:t>
            </w:r>
          </w:p>
        </w:tc>
        <w:tc>
          <w:tcPr>
            <w:tcW w:type="dxa" w:w="40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Enterprise egress control is a standard FS requirement; hybrid Mule runtimes and DC workloads usually reach the internet only via a proxy</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Phase 5 with Project 06</w:t>
            </w:r>
          </w:p>
        </w:tc>
        <w:tc>
          <w:tcPr>
            <w:tcW w:type="dxa" w:w="7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X1</w:t>
            </w:r>
          </w:p>
        </w:tc>
      </w:tr>
      <w:tr>
        <w:trPr>
          <w:cantSplit/>
        </w:trPr>
        <w:tc>
          <w:tcPr>
            <w:tcW w:type="dxa" w:w="1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Reverse proxy</w:t>
            </w:r>
          </w:p>
        </w:tc>
        <w:tc>
          <w:tcPr>
            <w:tcW w:type="dxa" w:w="18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Include</w:t>
            </w:r>
          </w:p>
        </w:tc>
        <w:tc>
          <w:tcPr>
            <w:tcW w:type="dxa" w:w="40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You already use five (CloudFront, ALB, API Gateway, Omni Gateway, AgentCore endpoint); one hands-on Nginx/Envoy lab makes the fundamentals (TLS termination, mTLS, headers) concrete</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Phase 4 with Module 10</w:t>
            </w:r>
          </w:p>
        </w:tc>
        <w:tc>
          <w:tcPr>
            <w:tcW w:type="dxa" w:w="7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X2–X3</w:t>
            </w:r>
          </w:p>
        </w:tc>
      </w:tr>
      <w:tr>
        <w:trPr>
          <w:cantSplit/>
        </w:trPr>
        <w:tc>
          <w:tcPr>
            <w:tcW w:type="dxa" w:w="1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CloudFormation</w:t>
            </w:r>
          </w:p>
        </w:tc>
        <w:tc>
          <w:tcPr>
            <w:tcW w:type="dxa" w:w="18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Include</w:t>
            </w:r>
          </w:p>
        </w:tc>
        <w:tc>
          <w:tcPr>
            <w:tcW w:type="dxa" w:w="40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SAA tests it (stacks, change sets, StackSets, drift); Terraform stays primary, CloudFormation is learned by contrast</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Phase 4</w:t>
            </w:r>
          </w:p>
        </w:tc>
        <w:tc>
          <w:tcPr>
            <w:tcW w:type="dxa" w:w="7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C1–C3</w:t>
            </w:r>
          </w:p>
        </w:tc>
      </w:tr>
      <w:tr>
        <w:trPr>
          <w:cantSplit/>
        </w:trPr>
        <w:tc>
          <w:tcPr>
            <w:tcW w:type="dxa" w:w="1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Free tier</w:t>
            </w:r>
          </w:p>
        </w:tc>
        <w:tc>
          <w:tcPr>
            <w:tcW w:type="dxa" w:w="18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Include as a cost strategy, not a design constraint</w:t>
            </w:r>
          </w:p>
        </w:tc>
        <w:tc>
          <w:tcPr>
            <w:tcW w:type="dxa" w:w="40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Accounts created after July 15, 2025 get a 6-month free plan with up to $200 credits; some services need the paid plan</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Phase 1, revisit monthly</w:t>
            </w:r>
          </w:p>
        </w:tc>
        <w:tc>
          <w:tcPr>
            <w:tcW w:type="dxa" w:w="7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F1</w:t>
            </w:r>
          </w:p>
        </w:tc>
      </w:tr>
      <w:tr>
        <w:trPr>
          <w:cantSplit/>
        </w:trPr>
        <w:tc>
          <w:tcPr>
            <w:tcW w:type="dxa" w:w="1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MuleSoft IDP</w:t>
            </w:r>
          </w:p>
        </w:tc>
        <w:tc>
          <w:tcPr>
            <w:tcW w:type="dxa" w:w="18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Design + alternative lab</w:t>
            </w:r>
          </w:p>
        </w:tc>
        <w:tc>
          <w:tcPr>
            <w:tcW w:type="dxa" w:w="40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Strong lending use case (income and down-payment documents), but likely not in a trial — it's sold via demo/quote</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Phase 5</w:t>
            </w:r>
          </w:p>
        </w:tc>
        <w:tc>
          <w:tcPr>
            <w:tcW w:type="dxa" w:w="7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I1–I2</w:t>
            </w:r>
          </w:p>
        </w:tc>
      </w:tr>
      <w:tr>
        <w:trPr>
          <w:cantSplit/>
        </w:trPr>
        <w:tc>
          <w:tcPr>
            <w:tcW w:type="dxa" w:w="1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agents (beyond the employee agent)</w:t>
            </w:r>
          </w:p>
        </w:tc>
        <w:tc>
          <w:tcPr>
            <w:tcW w:type="dxa" w:w="18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Include</w:t>
            </w:r>
          </w:p>
        </w:tc>
        <w:tc>
          <w:tcPr>
            <w:tcW w:type="dxa" w:w="40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borrower-facing service agent on Experience Cloud is a different security problem (guests vs authenticated, hardship and complaints escalated to humans)</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Phase 2–3 extension, finished in Phase 5</w:t>
            </w:r>
          </w:p>
        </w:tc>
        <w:tc>
          <w:tcPr>
            <w:tcW w:type="dxa" w:w="7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S1–S4</w:t>
            </w:r>
          </w:p>
        </w:tc>
      </w:tr>
      <w:tr>
        <w:trPr>
          <w:cantSplit/>
        </w:trPr>
        <w:tc>
          <w:tcPr>
            <w:tcW w:type="dxa" w:w="1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SageMaker</w:t>
            </w:r>
          </w:p>
        </w:tc>
        <w:tc>
          <w:tcPr>
            <w:tcW w:type="dxa" w:w="18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Include (one lab + positioning)</w:t>
            </w:r>
          </w:p>
        </w:tc>
        <w:tc>
          <w:tcPr>
            <w:tcW w:type="dxa" w:w="40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SAA tests positioning; a renewal-attrition model feeding Data 360 shows real cross-platform ML</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Phase 4</w:t>
            </w:r>
          </w:p>
        </w:tc>
        <w:tc>
          <w:tcPr>
            <w:tcW w:type="dxa" w:w="7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M1–M2</w:t>
            </w:r>
          </w:p>
        </w:tc>
      </w:tr>
      <w:tr>
        <w:trPr>
          <w:cantSplit/>
        </w:trPr>
        <w:tc>
          <w:tcPr>
            <w:tcW w:type="dxa" w:w="1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agent services</w:t>
            </w:r>
          </w:p>
        </w:tc>
        <w:tc>
          <w:tcPr>
            <w:tcW w:type="dxa" w:w="18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Include (comparison lab)</w:t>
            </w:r>
          </w:p>
        </w:tc>
        <w:tc>
          <w:tcPr>
            <w:tcW w:type="dxa" w:w="40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Bedrock Agents vs AgentCore vs open-source SDKs is a frequent architecture question</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Phase 5</w:t>
            </w:r>
          </w:p>
        </w:tc>
        <w:tc>
          <w:tcPr>
            <w:tcW w:type="dxa" w:w="7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M3–M4</w:t>
            </w:r>
          </w:p>
        </w:tc>
      </w:tr>
      <w:tr>
        <w:trPr>
          <w:cantSplit/>
        </w:trPr>
        <w:tc>
          <w:tcPr>
            <w:tcW w:type="dxa" w:w="1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A2A orchestration</w:t>
            </w:r>
          </w:p>
        </w:tc>
        <w:tc>
          <w:tcPr>
            <w:tcW w:type="dxa" w:w="18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Include, justified by ownership boundaries</w:t>
            </w:r>
          </w:p>
        </w:tc>
        <w:tc>
          <w:tcPr>
            <w:tcW w:type="dxa" w:w="40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Only when agents are owned and governed separately; otherwise it's multi-agent complexity without benefit</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Phase 5 after Project 07</w:t>
            </w:r>
          </w:p>
        </w:tc>
        <w:tc>
          <w:tcPr>
            <w:tcW w:type="dxa" w:w="7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A1–A5</w:t>
            </w:r>
          </w:p>
        </w:tc>
      </w:tr>
      <w:tr>
        <w:trPr>
          <w:cantSplit/>
        </w:trPr>
        <w:tc>
          <w:tcPr>
            <w:tcW w:type="dxa" w:w="1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S3</w:t>
            </w:r>
          </w:p>
        </w:tc>
        <w:tc>
          <w:tcPr>
            <w:tcW w:type="dxa" w:w="18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Already deep</w:t>
            </w:r>
            <w:r>
              <w:rPr>
                <w:b w:val="false"/>
                <w:bCs w:val="false"/>
                <w:sz w:val="17"/>
                <w:szCs w:val="17"/>
              </w:rPr>
              <w:t xml:space="preserve"> — add only advanced features</w:t>
            </w:r>
          </w:p>
        </w:tc>
        <w:tc>
          <w:tcPr>
            <w:tcW w:type="dxa" w:w="40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Projects 02/04/06 and Module 10 cover security, lifecycle, replication, claim-check, analytics</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Phase 4</w:t>
            </w:r>
          </w:p>
        </w:tc>
        <w:tc>
          <w:tcPr>
            <w:tcW w:type="dxa" w:w="7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X4</w:t>
            </w:r>
          </w:p>
        </w:tc>
      </w:tr>
      <w:tr>
        <w:trPr>
          <w:cantSplit/>
        </w:trPr>
        <w:tc>
          <w:tcPr>
            <w:tcW w:type="dxa" w:w="1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Docker</w:t>
            </w:r>
          </w:p>
        </w:tc>
        <w:tc>
          <w:tcPr>
            <w:tcW w:type="dxa" w:w="18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Include explicitly</w:t>
            </w:r>
          </w:p>
        </w:tc>
        <w:tc>
          <w:tcPr>
            <w:tcW w:type="dxa" w:w="40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Containers appear in 05/06/07/10; make the standards and supply-chain controls explicit</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Phase 1 onward</w:t>
            </w:r>
          </w:p>
        </w:tc>
        <w:tc>
          <w:tcPr>
            <w:tcW w:type="dxa" w:w="7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D1–D3</w:t>
            </w:r>
          </w:p>
        </w:tc>
      </w:tr>
      <w:tr>
        <w:trPr>
          <w:cantSplit/>
        </w:trPr>
        <w:tc>
          <w:tcPr>
            <w:tcW w:type="dxa" w:w="1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DevOps</w:t>
            </w:r>
          </w:p>
        </w:tc>
        <w:tc>
          <w:tcPr>
            <w:tcW w:type="dxa" w:w="18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Include as its own track</w:t>
            </w:r>
          </w:p>
        </w:tc>
        <w:tc>
          <w:tcPr>
            <w:tcW w:type="dxa" w:w="40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Expert architects own the delivery system: CI/CD, IaC testing, policy as code, release strategies, DORA metrics</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Continuous</w:t>
            </w:r>
          </w:p>
        </w:tc>
        <w:tc>
          <w:tcPr>
            <w:tcW w:type="dxa" w:w="7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D4–D8</w:t>
            </w:r>
          </w:p>
        </w:tc>
      </w:tr>
      <w:tr>
        <w:trPr>
          <w:cantSplit/>
        </w:trPr>
        <w:tc>
          <w:tcPr>
            <w:tcW w:type="dxa" w:w="19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Kubernetes/EKS deep dive</w:t>
            </w:r>
          </w:p>
        </w:tc>
        <w:tc>
          <w:tcPr>
            <w:tcW w:type="dxa" w:w="18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Skip (positioning only)</w:t>
            </w:r>
          </w:p>
        </w:tc>
        <w:tc>
          <w:tcPr>
            <w:tcW w:type="dxa" w:w="40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Big investment, not needed for these certifications or the Apex design; ECS/Fargate covers container orchestration needs</w:t>
            </w:r>
          </w:p>
        </w:tc>
        <w:tc>
          <w:tcPr>
            <w:tcW w:type="dxa" w:w="152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7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bl>
    <w:p>
      <w:pPr>
        <w:spacing w:after="120"/>
      </w:pPr>
    </w:p>
    <w:p>
      <w:pPr>
        <w:pBdr>
          <w:bottom w:val="single" w:color="BFBFBF" w:sz="6" w:space="1"/>
        </w:pBdr>
        <w:spacing w:after="120" w:before="120"/>
      </w:pPr>
    </w:p>
    <w:p>
      <w:pPr>
        <w:pStyle w:val="Heading1"/>
      </w:pPr>
      <w:bookmarkStart w:name="s2" w:id="2"/>
      <w:r>
        <w:t xml:space="preserve">2. Proxies</w:t>
      </w:r>
      <w:bookmarkEnd w:id="2"/>
    </w:p>
    <w:p>
      <w:pPr>
        <w:pStyle w:val="Heading2"/>
      </w:pPr>
      <w:r>
        <w:t xml:space="preserve">X1 — Forward proxy for egress control</w:t>
      </w:r>
    </w:p>
    <w:p>
      <w:pPr>
        <w:spacing w:after="120"/>
      </w:pPr>
      <w:r>
        <w:rPr>
          <w:b/>
          <w:bCs/>
        </w:rPr>
        <w:t xml:space="preserve">Why:</w:t>
      </w:r>
      <w:r>
        <w:t xml:space="preserve"> in regulated environments, private workloads (Mule hybrid runtime, DC servers, private Lambdas) must reach only approved internet destinations, and every egress must be logged.</w:t>
      </w:r>
    </w:p>
    <w:p>
      <w:pPr>
        <w:spacing w:after="120"/>
      </w:pPr>
      <w:r>
        <w:rPr>
          <w:b/>
          <w:bCs/>
        </w:rPr>
        <w:t xml:space="preserve">Build (low cost):</w:t>
      </w:r>
      <w:r>
        <w:t xml:space="preserve"> an EC2 </w:t>
      </w:r>
      <w:r>
        <w:rPr>
          <w:rFonts w:ascii="Consolas" w:cs="Consolas" w:eastAsia="Consolas" w:hAnsi="Consolas"/>
          <w:sz w:val="19"/>
          <w:szCs w:val="19"/>
          <w:shd w:fill="EEF0F3" w:color="auto" w:val="clear"/>
        </w:rPr>
        <w:t xml:space="preserve">t4g.micro</w:t>
      </w:r>
      <w:r>
        <w:t xml:space="preserve"> in a public subnet of an </w:t>
      </w:r>
      <w:r>
        <w:rPr>
          <w:rFonts w:ascii="Consolas" w:cs="Consolas" w:eastAsia="Consolas" w:hAnsi="Consolas"/>
          <w:sz w:val="19"/>
          <w:szCs w:val="19"/>
          <w:shd w:fill="EEF0F3" w:color="auto" w:val="clear"/>
        </w:rPr>
        <w:t xml:space="preserve">egress</w:t>
      </w:r>
      <w:r>
        <w:t xml:space="preserve"> VPC (or the DC-sim VPC) running </w:t>
      </w:r>
      <w:r>
        <w:rPr>
          <w:b/>
          <w:bCs/>
        </w:rPr>
        <w:t xml:space="preserve">Squid</w:t>
      </w:r>
      <w:r>
        <w:t xml:space="preserve"> with a domain allowlist. Point private workloads at it.</w:t>
      </w:r>
    </w:p>
    <w:p>
      <w:pPr>
        <w:pStyle w:val="CodeLabel"/>
        <w:ind w:left="0"/>
      </w:pPr>
      <w:r>
        <w:t xml:space="preserve">conf</w:t>
      </w:r>
    </w:p>
    <w:p>
      <w:pPr>
        <w:pStyle w:val="Code"/>
        <w:shd w:fill="F3F4F6" w:color="auto" w:val="clear"/>
        <w:spacing w:after="0" w:before="40"/>
        <w:ind w:left="0"/>
      </w:pPr>
      <w:r>
        <w:rPr>
          <w:rFonts w:ascii="Consolas" w:cs="Consolas" w:eastAsia="Consolas" w:hAnsi="Consolas"/>
        </w:rPr>
        <w:t xml:space="preserve"># /etc/squid/squid.conf (excerpt)</w:t>
      </w:r>
    </w:p>
    <w:p>
      <w:pPr>
        <w:pStyle w:val="Code"/>
        <w:shd w:fill="F3F4F6" w:color="auto" w:val="clear"/>
        <w:spacing w:after="0" w:before="0"/>
        <w:ind w:left="0"/>
      </w:pPr>
      <w:r>
        <w:rPr>
          <w:rFonts w:ascii="Consolas" w:cs="Consolas" w:eastAsia="Consolas" w:hAnsi="Consolas"/>
        </w:rPr>
        <w:t xml:space="preserve">acl SSL_ports port 443</w:t>
      </w:r>
    </w:p>
    <w:p>
      <w:pPr>
        <w:pStyle w:val="Code"/>
        <w:shd w:fill="F3F4F6" w:color="auto" w:val="clear"/>
        <w:spacing w:after="0" w:before="0"/>
        <w:ind w:left="0"/>
      </w:pPr>
      <w:r>
        <w:rPr>
          <w:rFonts w:ascii="Consolas" w:cs="Consolas" w:eastAsia="Consolas" w:hAnsi="Consolas"/>
        </w:rPr>
        <w:t xml:space="preserve">acl CONNECT method CONNECT</w:t>
      </w:r>
    </w:p>
    <w:p>
      <w:pPr>
        <w:pStyle w:val="Code"/>
        <w:shd w:fill="F3F4F6" w:color="auto" w:val="clear"/>
        <w:spacing w:after="0" w:before="0"/>
        <w:ind w:left="0"/>
      </w:pPr>
      <w:r>
        <w:rPr>
          <w:rFonts w:ascii="Consolas" w:cs="Consolas" w:eastAsia="Consolas" w:hAnsi="Consolas"/>
        </w:rPr>
        <w:t xml:space="preserve">acl allowed dstdomain .mulesoft.com .anypoint.mulesoft.com .okta.com .amazonaws.com</w:t>
      </w:r>
    </w:p>
    <w:p>
      <w:pPr>
        <w:pStyle w:val="Code"/>
        <w:shd w:fill="F3F4F6" w:color="auto" w:val="clear"/>
        <w:spacing w:after="0" w:before="0"/>
        <w:ind w:left="0"/>
      </w:pPr>
      <w:r>
        <w:rPr>
          <w:rFonts w:ascii="Consolas" w:cs="Consolas" w:eastAsia="Consolas" w:hAnsi="Consolas"/>
        </w:rPr>
        <w:t xml:space="preserve">http_access deny !SSL_ports</w:t>
      </w:r>
    </w:p>
    <w:p>
      <w:pPr>
        <w:pStyle w:val="Code"/>
        <w:shd w:fill="F3F4F6" w:color="auto" w:val="clear"/>
        <w:spacing w:after="0" w:before="0"/>
        <w:ind w:left="0"/>
      </w:pPr>
      <w:r>
        <w:rPr>
          <w:rFonts w:ascii="Consolas" w:cs="Consolas" w:eastAsia="Consolas" w:hAnsi="Consolas"/>
        </w:rPr>
        <w:t xml:space="preserve">http_access allow CONNECT allowed</w:t>
      </w:r>
    </w:p>
    <w:p>
      <w:pPr>
        <w:pStyle w:val="Code"/>
        <w:shd w:fill="F3F4F6" w:color="auto" w:val="clear"/>
        <w:spacing w:after="0" w:before="0"/>
        <w:ind w:left="0"/>
      </w:pPr>
      <w:r>
        <w:rPr>
          <w:rFonts w:ascii="Consolas" w:cs="Consolas" w:eastAsia="Consolas" w:hAnsi="Consolas"/>
        </w:rPr>
        <w:t xml:space="preserve">http_access deny all</w:t>
      </w:r>
    </w:p>
    <w:p>
      <w:pPr>
        <w:pStyle w:val="Code"/>
        <w:shd w:fill="F3F4F6" w:color="auto" w:val="clear"/>
        <w:spacing w:after="0" w:before="0"/>
        <w:ind w:left="0"/>
      </w:pPr>
      <w:r>
        <w:rPr>
          <w:rFonts w:ascii="Consolas" w:cs="Consolas" w:eastAsia="Consolas" w:hAnsi="Consolas"/>
        </w:rPr>
        <w:t xml:space="preserve">http_port 3128</w:t>
      </w:r>
    </w:p>
    <w:p>
      <w:pPr>
        <w:pStyle w:val="Code"/>
        <w:shd w:fill="F3F4F6" w:color="auto" w:val="clear"/>
        <w:spacing w:after="160" w:before="0"/>
        <w:ind w:left="0"/>
      </w:pPr>
      <w:r>
        <w:rPr>
          <w:rFonts w:ascii="Consolas" w:cs="Consolas" w:eastAsia="Consolas" w:hAnsi="Consolas"/>
        </w:rPr>
        <w:t xml:space="preserve">access_log daemon:/var/log/squid/access.log squid</w:t>
      </w:r>
    </w:p>
    <w:p>
      <w:pPr>
        <w:spacing w:after="120"/>
      </w:pPr>
      <w:r>
        <w:t xml:space="preserve">Configure clients: Mule standalone (</w:t>
      </w:r>
      <w:r>
        <w:rPr>
          <w:rFonts w:ascii="Consolas" w:cs="Consolas" w:eastAsia="Consolas" w:hAnsi="Consolas"/>
          <w:sz w:val="19"/>
          <w:szCs w:val="19"/>
          <w:shd w:fill="EEF0F3" w:color="auto" w:val="clear"/>
        </w:rPr>
        <w:t xml:space="preserve">conf/wrapper.conf</w:t>
      </w:r>
      <w:r>
        <w:t xml:space="preserve"> → </w:t>
      </w:r>
      <w:r>
        <w:rPr>
          <w:rFonts w:ascii="Consolas" w:cs="Consolas" w:eastAsia="Consolas" w:hAnsi="Consolas"/>
          <w:sz w:val="19"/>
          <w:szCs w:val="19"/>
          <w:shd w:fill="EEF0F3" w:color="auto" w:val="clear"/>
        </w:rPr>
        <w:t xml:space="preserve">wrapper.java.additional.&lt;n&gt;=-Dhttps.proxyHost=&lt;proxy&gt; -Dhttps.proxyPort=3128</w:t>
      </w:r>
      <w:r>
        <w:t xml:space="preserve">, plus the Runtime Manager agent proxy setting ⚠ check docs), Linux tools (</w:t>
      </w:r>
      <w:r>
        <w:rPr>
          <w:rFonts w:ascii="Consolas" w:cs="Consolas" w:eastAsia="Consolas" w:hAnsi="Consolas"/>
          <w:sz w:val="19"/>
          <w:szCs w:val="19"/>
          <w:shd w:fill="EEF0F3" w:color="auto" w:val="clear"/>
        </w:rPr>
        <w:t xml:space="preserve">HTTPS_PROXY</w:t>
      </w:r>
      <w:r>
        <w:t xml:space="preserve">), Python (</w:t>
      </w:r>
      <w:r>
        <w:rPr>
          <w:rFonts w:ascii="Consolas" w:cs="Consolas" w:eastAsia="Consolas" w:hAnsi="Consolas"/>
          <w:sz w:val="19"/>
          <w:szCs w:val="19"/>
          <w:shd w:fill="EEF0F3" w:color="auto" w:val="clear"/>
        </w:rPr>
        <w:t xml:space="preserve">requests</w:t>
      </w:r>
      <w:r>
        <w:t xml:space="preserve"> honours </w:t>
      </w:r>
      <w:r>
        <w:rPr>
          <w:rFonts w:ascii="Consolas" w:cs="Consolas" w:eastAsia="Consolas" w:hAnsi="Consolas"/>
          <w:sz w:val="19"/>
          <w:szCs w:val="19"/>
          <w:shd w:fill="EEF0F3" w:color="auto" w:val="clear"/>
        </w:rPr>
        <w:t xml:space="preserve">HTTPS_PROXY</w:t>
      </w:r>
      <w:r>
        <w:t xml:space="preserve">). Ship Squid logs to CloudWatch.</w:t>
      </w:r>
    </w:p>
    <w:p>
      <w:pPr>
        <w:spacing w:after="120"/>
      </w:pPr>
      <w:r>
        <w:rPr>
          <w:b/>
          <w:bCs/>
        </w:rPr>
        <w:t xml:space="preserve">Test:</w:t>
      </w:r>
      <w:r>
        <w:t xml:space="preserve"> an allowed domain succeeds; </w:t>
      </w:r>
      <w:r>
        <w:rPr>
          <w:rFonts w:ascii="Consolas" w:cs="Consolas" w:eastAsia="Consolas" w:hAnsi="Consolas"/>
          <w:sz w:val="19"/>
          <w:szCs w:val="19"/>
          <w:shd w:fill="EEF0F3" w:color="auto" w:val="clear"/>
        </w:rPr>
        <w:t xml:space="preserve">curl https://example.com</w:t>
      </w:r>
      <w:r>
        <w:t xml:space="preserve"> is denied and logged.
</w:t>
      </w:r>
      <w:r>
        <w:rPr>
          <w:b/>
          <w:bCs/>
        </w:rPr>
        <w:t xml:space="preserve">Compare (ADR-025):</w:t>
      </w:r>
      <w:r>
        <w:t xml:space="preserve"> Squid (cheap, you patch it) vs </w:t>
      </w:r>
      <w:r>
        <w:rPr>
          <w:b/>
          <w:bCs/>
        </w:rPr>
        <w:t xml:space="preserve">AWS Network Firewall</w:t>
      </w:r>
      <w:r>
        <w:t xml:space="preserve"> with domain-list rules (managed, but billed per endpoint-hour plus data — check pricing before enabling) vs NAT gateway (no filtering). Explicit vs transparent proxy; TLS inspection trade-offs (visibility vs privacy/breakage of certificate pinning).</w:t>
      </w:r>
    </w:p>
    <w:p>
      <w:pPr>
        <w:pStyle w:val="Heading2"/>
      </w:pPr>
      <w:r>
        <w:t xml:space="preserve">X2 — Reverse proxy fundamentals with Nginx</w:t>
      </w:r>
    </w:p>
    <w:p>
      <w:pPr>
        <w:spacing w:after="120"/>
      </w:pPr>
      <w:r>
        <w:rPr>
          <w:b/>
          <w:bCs/>
        </w:rPr>
        <w:t xml:space="preserve">Build:</w:t>
      </w:r>
      <w:r>
        <w:t xml:space="preserve"> run the Module 10 documents-service container behind an </w:t>
      </w:r>
      <w:r>
        <w:rPr>
          <w:b/>
          <w:bCs/>
        </w:rPr>
        <w:t xml:space="preserve">Nginx</w:t>
      </w:r>
      <w:r>
        <w:t xml:space="preserve"> container locally (Docker Compose), then on ECS behind the ALB:</w:t>
      </w:r>
    </w:p>
    <w:p>
      <w:pPr>
        <w:pStyle w:val="CodeLabel"/>
        <w:ind w:left="0"/>
      </w:pPr>
      <w:r>
        <w:t xml:space="preserve">nginx</w:t>
      </w:r>
    </w:p>
    <w:p>
      <w:pPr>
        <w:pStyle w:val="Code"/>
        <w:shd w:fill="F3F4F6" w:color="auto" w:val="clear"/>
        <w:spacing w:after="0" w:before="40"/>
        <w:ind w:left="0"/>
      </w:pPr>
      <w:r>
        <w:rPr>
          <w:rFonts w:ascii="Consolas" w:cs="Consolas" w:eastAsia="Consolas" w:hAnsi="Consolas"/>
        </w:rPr>
        <w:t xml:space="preserve"># conf.d/apex.conf — the top level of this file sits in nginx's http{} context</w:t>
      </w:r>
    </w:p>
    <w:p>
      <w:pPr>
        <w:pStyle w:val="Code"/>
        <w:shd w:fill="F3F4F6" w:color="auto" w:val="clear"/>
        <w:spacing w:after="0" w:before="0"/>
        <w:ind w:left="0"/>
      </w:pPr>
      <w:r>
        <w:rPr>
          <w:rFonts w:ascii="Consolas" w:cs="Consolas" w:eastAsia="Consolas" w:hAnsi="Consolas"/>
        </w:rPr>
        <w:t xml:space="preserve">limit_req_zone $binary_remote_addr zone=perip:10m rate=10r/s;</w:t>
      </w:r>
    </w:p>
    <w:p>
      <w:pPr>
        <w:pStyle w:val="Code"/>
        <w:shd w:fill="F3F4F6" w:color="auto" w:val="clear"/>
        <w:spacing w:after="0" w:before="0"/>
        <w:ind w:left="0"/>
      </w:pPr>
      <w:r>
        <w:rPr>
          <w:rFonts w:ascii="Consolas" w:cs="Consolas" w:eastAsia="Consolas" w:hAnsi="Consolas"/>
        </w:rPr>
        <w:t xml:space="preserve">limit_req_status 429;</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server {</w:t>
      </w:r>
    </w:p>
    <w:p>
      <w:pPr>
        <w:pStyle w:val="Code"/>
        <w:shd w:fill="F3F4F6" w:color="auto" w:val="clear"/>
        <w:spacing w:after="0" w:before="0"/>
        <w:ind w:left="0"/>
      </w:pPr>
      <w:r>
        <w:rPr>
          <w:rFonts w:ascii="Consolas" w:cs="Consolas" w:eastAsia="Consolas" w:hAnsi="Consolas"/>
        </w:rPr>
        <w:t xml:space="preserve">  listen 8443 ssl;</w:t>
      </w:r>
    </w:p>
    <w:p>
      <w:pPr>
        <w:pStyle w:val="Code"/>
        <w:shd w:fill="F3F4F6" w:color="auto" w:val="clear"/>
        <w:spacing w:after="0" w:before="0"/>
        <w:ind w:left="0"/>
      </w:pPr>
      <w:r>
        <w:rPr>
          <w:rFonts w:ascii="Consolas" w:cs="Consolas" w:eastAsia="Consolas" w:hAnsi="Consolas"/>
        </w:rPr>
        <w:t xml:space="preserve">  ssl_certificate     /certs/server.crt;  ssl_certificate_key /certs/server.key;</w:t>
      </w:r>
    </w:p>
    <w:p>
      <w:pPr>
        <w:pStyle w:val="Code"/>
        <w:shd w:fill="F3F4F6" w:color="auto" w:val="clear"/>
        <w:spacing w:after="0" w:before="0"/>
        <w:ind w:left="0"/>
      </w:pPr>
      <w:r>
        <w:rPr>
          <w:rFonts w:ascii="Consolas" w:cs="Consolas" w:eastAsia="Consolas" w:hAnsi="Consolas"/>
        </w:rPr>
        <w:t xml:space="preserve">  ssl_protocols TLSv1.2 TLSv1.3;</w:t>
      </w:r>
    </w:p>
    <w:p>
      <w:pPr>
        <w:pStyle w:val="Code"/>
        <w:shd w:fill="F3F4F6" w:color="auto" w:val="clear"/>
        <w:spacing w:after="0" w:before="0"/>
        <w:ind w:left="0"/>
      </w:pPr>
      <w:r>
        <w:rPr>
          <w:rFonts w:ascii="Consolas" w:cs="Consolas" w:eastAsia="Consolas" w:hAnsi="Consolas"/>
        </w:rPr>
        <w:t xml:space="preserve">  ssl_client_certificate /certs/partner-ca.crt;  ssl_verify_client optional;   # mTLS for /partner</w:t>
      </w:r>
    </w:p>
    <w:p>
      <w:pPr>
        <w:pStyle w:val="Code"/>
        <w:shd w:fill="F3F4F6" w:color="auto" w:val="clear"/>
        <w:spacing w:after="0" w:before="0"/>
        <w:ind w:left="0"/>
      </w:pPr>
      <w:r>
        <w:rPr>
          <w:rFonts w:ascii="Consolas" w:cs="Consolas" w:eastAsia="Consolas" w:hAnsi="Consolas"/>
        </w:rPr>
        <w:t xml:space="preserve">  location /partner/ { if ($ssl_client_verify != SUCCESS) { return 403; } proxy_pass http://docs:8000/; }</w:t>
      </w:r>
    </w:p>
    <w:p>
      <w:pPr>
        <w:pStyle w:val="Code"/>
        <w:shd w:fill="F3F4F6" w:color="auto" w:val="clear"/>
        <w:spacing w:after="0" w:before="0"/>
        <w:ind w:left="0"/>
      </w:pPr>
      <w:r>
        <w:rPr>
          <w:rFonts w:ascii="Consolas" w:cs="Consolas" w:eastAsia="Consolas" w:hAnsi="Consolas"/>
        </w:rPr>
        <w:t xml:space="preserve">  location / {</w:t>
      </w:r>
    </w:p>
    <w:p>
      <w:pPr>
        <w:pStyle w:val="Code"/>
        <w:shd w:fill="F3F4F6" w:color="auto" w:val="clear"/>
        <w:spacing w:after="0" w:before="0"/>
        <w:ind w:left="0"/>
      </w:pPr>
      <w:r>
        <w:rPr>
          <w:rFonts w:ascii="Consolas" w:cs="Consolas" w:eastAsia="Consolas" w:hAnsi="Consolas"/>
        </w:rPr>
        <w:t xml:space="preserve">    limit_req zone=perip burst=20;</w:t>
      </w:r>
    </w:p>
    <w:p>
      <w:pPr>
        <w:pStyle w:val="Code"/>
        <w:shd w:fill="F3F4F6" w:color="auto" w:val="clear"/>
        <w:spacing w:after="0" w:before="0"/>
        <w:ind w:left="0"/>
      </w:pPr>
      <w:r>
        <w:rPr>
          <w:rFonts w:ascii="Consolas" w:cs="Consolas" w:eastAsia="Consolas" w:hAnsi="Consolas"/>
        </w:rPr>
        <w:t xml:space="preserve">    proxy_set_header X-Forwarded-For $proxy_add_x_forwarded_for;</w:t>
      </w:r>
    </w:p>
    <w:p>
      <w:pPr>
        <w:pStyle w:val="Code"/>
        <w:shd w:fill="F3F4F6" w:color="auto" w:val="clear"/>
        <w:spacing w:after="0" w:before="0"/>
        <w:ind w:left="0"/>
      </w:pPr>
      <w:r>
        <w:rPr>
          <w:rFonts w:ascii="Consolas" w:cs="Consolas" w:eastAsia="Consolas" w:hAnsi="Consolas"/>
        </w:rPr>
        <w:t xml:space="preserve">    proxy_set_header X-Forwarded-Proto $scheme;</w:t>
      </w:r>
    </w:p>
    <w:p>
      <w:pPr>
        <w:pStyle w:val="Code"/>
        <w:shd w:fill="F3F4F6" w:color="auto" w:val="clear"/>
        <w:spacing w:after="0" w:before="0"/>
        <w:ind w:left="0"/>
      </w:pPr>
      <w:r>
        <w:rPr>
          <w:rFonts w:ascii="Consolas" w:cs="Consolas" w:eastAsia="Consolas" w:hAnsi="Consolas"/>
        </w:rPr>
        <w:t xml:space="preserve">    proxy_set_header X-Correlation-ID $request_id;</w:t>
      </w:r>
    </w:p>
    <w:p>
      <w:pPr>
        <w:pStyle w:val="Code"/>
        <w:shd w:fill="F3F4F6" w:color="auto" w:val="clear"/>
        <w:spacing w:after="0" w:before="0"/>
        <w:ind w:left="0"/>
      </w:pPr>
      <w:r>
        <w:rPr>
          <w:rFonts w:ascii="Consolas" w:cs="Consolas" w:eastAsia="Consolas" w:hAnsi="Consolas"/>
        </w:rPr>
        <w:t xml:space="preserve">    proxy_set_header X-User "";             # strip spoofable identity headers</w:t>
      </w:r>
    </w:p>
    <w:p>
      <w:pPr>
        <w:pStyle w:val="Code"/>
        <w:shd w:fill="F3F4F6" w:color="auto" w:val="clear"/>
        <w:spacing w:after="0" w:before="0"/>
        <w:ind w:left="0"/>
      </w:pPr>
      <w:r>
        <w:rPr>
          <w:rFonts w:ascii="Consolas" w:cs="Consolas" w:eastAsia="Consolas" w:hAnsi="Consolas"/>
        </w:rPr>
        <w:t xml:space="preserve">    proxy_pass http://docs:8000;</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160" w:before="0"/>
        <w:ind w:left="0"/>
      </w:pPr>
      <w:r>
        <w:rPr>
          <w:rFonts w:ascii="Consolas" w:cs="Consolas" w:eastAsia="Consolas" w:hAnsi="Consolas"/>
        </w:rPr>
        <w:t xml:space="preserve">}</w:t>
      </w:r>
    </w:p>
    <w:p>
      <w:pPr>
        <w:spacing w:after="120"/>
      </w:pPr>
      <w:r>
        <w:rPr>
          <w:b/>
          <w:bCs/>
        </w:rPr>
        <w:t xml:space="preserve">Tests:</w:t>
      </w:r>
      <w:r>
        <w:t xml:space="preserve"> mTLS path rejects without a client cert; rate limit returns 429 (nginx's default would be 503); a spoofed </w:t>
      </w:r>
      <w:r>
        <w:rPr>
          <w:rFonts w:ascii="Consolas" w:cs="Consolas" w:eastAsia="Consolas" w:hAnsi="Consolas"/>
          <w:sz w:val="19"/>
          <w:szCs w:val="19"/>
          <w:shd w:fill="EEF0F3" w:color="auto" w:val="clear"/>
        </w:rPr>
        <w:t xml:space="preserve">X-User</w:t>
      </w:r>
      <w:r>
        <w:t xml:space="preserve"> header never reaches the app; </w:t>
      </w:r>
      <w:r>
        <w:rPr>
          <w:rFonts w:ascii="Consolas" w:cs="Consolas" w:eastAsia="Consolas" w:hAnsi="Consolas"/>
          <w:sz w:val="19"/>
          <w:szCs w:val="19"/>
          <w:shd w:fill="EEF0F3" w:color="auto" w:val="clear"/>
        </w:rPr>
        <w:t xml:space="preserve">X-Forwarded-For</w:t>
      </w:r>
      <w:r>
        <w:t xml:space="preserve"> shows the real client.</w:t>
      </w:r>
    </w:p>
    <w:p>
      <w:pPr>
        <w:pStyle w:val="Heading2"/>
      </w:pPr>
      <w:r>
        <w:t xml:space="preserve">X3 — Choosing the right reverse proxy</w:t>
      </w:r>
    </w:p>
    <w:p>
      <w:pPr>
        <w:spacing w:after="120"/>
      </w:pPr>
      <w:r>
        <w:t xml:space="preserve">Write the decision table in your own words after the labs: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44"/>
        <w:gridCol w:w="2195"/>
        <w:gridCol w:w="3441"/>
      </w:tblGrid>
      <w:tr>
        <w:trPr>
          <w:cantSplit/>
          <w:tblHeader/>
        </w:trPr>
        <w:tc>
          <w:tcPr>
            <w:tcW w:type="dxa" w:w="444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Need</w:t>
            </w:r>
          </w:p>
        </w:tc>
        <w:tc>
          <w:tcPr>
            <w:tcW w:type="dxa" w:w="219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Best fit in Apex</w:t>
            </w:r>
          </w:p>
        </w:tc>
        <w:tc>
          <w:tcPr>
            <w:tcW w:type="dxa" w:w="344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Why not the others</w:t>
            </w:r>
          </w:p>
        </w:tc>
      </w:tr>
      <w:tr>
        <w:trPr>
          <w:cantSplit/>
        </w:trPr>
        <w:tc>
          <w:tcPr>
            <w:tcW w:type="dxa" w:w="44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Global caching + WAF for the documents service</w:t>
            </w:r>
          </w:p>
        </w:tc>
        <w:tc>
          <w:tcPr>
            <w:tcW w:type="dxa" w:w="21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CloudFront + WAF</w:t>
            </w:r>
          </w:p>
        </w:tc>
        <w:tc>
          <w:tcPr>
            <w:tcW w:type="dxa" w:w="3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ALB lacks edge caching</w:t>
            </w:r>
          </w:p>
        </w:tc>
      </w:tr>
      <w:tr>
        <w:trPr>
          <w:cantSplit/>
        </w:trPr>
        <w:tc>
          <w:tcPr>
            <w:tcW w:type="dxa" w:w="44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L7 routing to containers, health checks</w:t>
            </w:r>
          </w:p>
        </w:tc>
        <w:tc>
          <w:tcPr>
            <w:tcW w:type="dxa" w:w="21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ALB</w:t>
            </w:r>
          </w:p>
        </w:tc>
        <w:tc>
          <w:tcPr>
            <w:tcW w:type="dxa" w:w="3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API Gateway costlier for steady container traffic</w:t>
            </w:r>
          </w:p>
        </w:tc>
      </w:tr>
      <w:tr>
        <w:trPr>
          <w:cantSplit/>
        </w:trPr>
        <w:tc>
          <w:tcPr>
            <w:tcW w:type="dxa" w:w="44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API products, OAuth policies, rate limits by client, MCP/A2A policies</w:t>
            </w:r>
          </w:p>
        </w:tc>
        <w:tc>
          <w:tcPr>
            <w:tcW w:type="dxa" w:w="21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Omni Gateway / API Gateway</w:t>
            </w:r>
          </w:p>
        </w:tc>
        <w:tc>
          <w:tcPr>
            <w:tcW w:type="dxa" w:w="3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Nginx needs custom code for API governance</w:t>
            </w:r>
          </w:p>
        </w:tc>
      </w:tr>
      <w:tr>
        <w:trPr>
          <w:cantSplit/>
        </w:trPr>
        <w:tc>
          <w:tcPr>
            <w:tcW w:type="dxa" w:w="44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L4, static IPs, TLS passthrough, PrivateLink</w:t>
            </w:r>
          </w:p>
        </w:tc>
        <w:tc>
          <w:tcPr>
            <w:tcW w:type="dxa" w:w="21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NLB</w:t>
            </w:r>
          </w:p>
        </w:tc>
        <w:tc>
          <w:tcPr>
            <w:tcW w:type="dxa" w:w="3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ALB is L7 only</w:t>
            </w:r>
          </w:p>
        </w:tc>
      </w:tr>
      <w:tr>
        <w:trPr>
          <w:cantSplit/>
        </w:trPr>
        <w:tc>
          <w:tcPr>
            <w:tcW w:type="dxa" w:w="44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Custom header logic, local dev, sidecar</w:t>
            </w:r>
          </w:p>
        </w:tc>
        <w:tc>
          <w:tcPr>
            <w:tcW w:type="dxa" w:w="21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Nginx / Envoy</w:t>
            </w:r>
          </w:p>
        </w:tc>
        <w:tc>
          <w:tcPr>
            <w:tcW w:type="dxa" w:w="344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Managed services can't run on your laptop</w:t>
            </w:r>
          </w:p>
        </w:tc>
      </w:tr>
    </w:tbl>
    <w:p>
      <w:pPr>
        <w:spacing w:after="120"/>
      </w:pPr>
    </w:p>
    <w:p>
      <w:pPr>
        <w:pStyle w:val="Heading2"/>
      </w:pPr>
      <w:r>
        <w:t xml:space="preserve">X4 — S3 advanced features (only what's new)</w:t>
      </w:r>
    </w:p>
    <w:p>
      <w:pPr>
        <w:spacing w:after="120"/>
      </w:pPr>
      <w:r>
        <w:rPr>
          <w:b/>
          <w:bCs/>
        </w:rPr>
        <w:t xml:space="preserve">S3 Access Points</w:t>
      </w:r>
      <w:r>
        <w:t xml:space="preserve"> per consumer (Data 360 reader, analytics) with their own policies; </w:t>
      </w:r>
      <w:r>
        <w:rPr>
          <w:b/>
          <w:bCs/>
        </w:rPr>
        <w:t xml:space="preserve">S3 Event Notifications → EventBridge</w:t>
      </w:r>
      <w:r>
        <w:t xml:space="preserve"> for new extract files (triggers a validation Lambda); </w:t>
      </w:r>
      <w:r>
        <w:rPr>
          <w:b/>
          <w:bCs/>
        </w:rPr>
        <w:t xml:space="preserve">S3 Inventory + Batch Operations</w:t>
      </w:r>
      <w:r>
        <w:t xml:space="preserve"> to re-tag or re-encrypt objects; </w:t>
      </w:r>
      <w:r>
        <w:rPr>
          <w:b/>
          <w:bCs/>
        </w:rPr>
        <w:t xml:space="preserve">Storage Lens</w:t>
      </w:r>
      <w:r>
        <w:t xml:space="preserve"> for cost/activity. Note the cross-account Data 360 access pattern via an access point in ADR-009.</w:t>
      </w:r>
    </w:p>
    <w:p>
      <w:pPr>
        <w:pBdr>
          <w:bottom w:val="single" w:color="BFBFBF" w:sz="6" w:space="1"/>
        </w:pBdr>
        <w:spacing w:after="120" w:before="120"/>
      </w:pPr>
    </w:p>
    <w:p>
      <w:pPr>
        <w:pStyle w:val="Heading1"/>
      </w:pPr>
      <w:bookmarkStart w:name="s3" w:id="3"/>
      <w:r>
        <w:t xml:space="preserve">3. CloudFormation (learned by contrast with Terraform)</w:t>
      </w:r>
      <w:bookmarkEnd w:id="3"/>
    </w:p>
    <w:p>
      <w:pPr>
        <w:pStyle w:val="Heading2"/>
      </w:pPr>
      <w:r>
        <w:t xml:space="preserve">C1 — Rewrite one module in CloudFormation</w:t>
      </w:r>
    </w:p>
    <w:p>
      <w:pPr>
        <w:spacing w:after="120"/>
      </w:pPr>
      <w:r>
        <w:t xml:space="preserve">Rewrite the Project 02 </w:t>
      </w:r>
      <w:r>
        <w:rPr>
          <w:rFonts w:ascii="Consolas" w:cs="Consolas" w:eastAsia="Consolas" w:hAnsi="Consolas"/>
          <w:sz w:val="19"/>
          <w:szCs w:val="19"/>
          <w:shd w:fill="EEF0F3" w:color="auto" w:val="clear"/>
        </w:rPr>
        <w:t xml:space="preserve">events</w:t>
      </w:r>
      <w:r>
        <w:t xml:space="preserve"> module (EventBridge bus + rule + SQS + DLQ) as CloudFormation:</w:t>
      </w:r>
    </w:p>
    <w:p>
      <w:pPr>
        <w:pStyle w:val="CodeLabel"/>
        <w:ind w:left="0"/>
      </w:pPr>
      <w:r>
        <w:t xml:space="preserve">yaml</w:t>
      </w:r>
    </w:p>
    <w:p>
      <w:pPr>
        <w:pStyle w:val="Code"/>
        <w:shd w:fill="F3F4F6" w:color="auto" w:val="clear"/>
        <w:spacing w:after="0" w:before="40"/>
        <w:ind w:left="0"/>
      </w:pPr>
      <w:r>
        <w:rPr>
          <w:rFonts w:ascii="Consolas" w:cs="Consolas" w:eastAsia="Consolas" w:hAnsi="Consolas"/>
        </w:rPr>
        <w:t xml:space="preserve">AWSTemplateFormatVersion: "2010-09-09"</w:t>
      </w:r>
    </w:p>
    <w:p>
      <w:pPr>
        <w:pStyle w:val="Code"/>
        <w:shd w:fill="F3F4F6" w:color="auto" w:val="clear"/>
        <w:spacing w:after="0" w:before="0"/>
        <w:ind w:left="0"/>
      </w:pPr>
      <w:r>
        <w:rPr>
          <w:rFonts w:ascii="Consolas" w:cs="Consolas" w:eastAsia="Consolas" w:hAnsi="Consolas"/>
        </w:rPr>
        <w:t xml:space="preserve">Description: Apex events backbone (CloudFormation edition)</w:t>
      </w:r>
    </w:p>
    <w:p>
      <w:pPr>
        <w:pStyle w:val="Code"/>
        <w:shd w:fill="F3F4F6" w:color="auto" w:val="clear"/>
        <w:spacing w:after="0" w:before="0"/>
        <w:ind w:left="0"/>
      </w:pPr>
      <w:r>
        <w:rPr>
          <w:rFonts w:ascii="Consolas" w:cs="Consolas" w:eastAsia="Consolas" w:hAnsi="Consolas"/>
        </w:rPr>
        <w:t xml:space="preserve">Parameters:</w:t>
      </w:r>
    </w:p>
    <w:p>
      <w:pPr>
        <w:pStyle w:val="Code"/>
        <w:shd w:fill="F3F4F6" w:color="auto" w:val="clear"/>
        <w:spacing w:after="0" w:before="0"/>
        <w:ind w:left="0"/>
      </w:pPr>
      <w:r>
        <w:rPr>
          <w:rFonts w:ascii="Consolas" w:cs="Consolas" w:eastAsia="Consolas" w:hAnsi="Consolas"/>
        </w:rPr>
        <w:t xml:space="preserve">  Env: { Type: String, AllowedValues: [sandbox, test], Default: sandbox }</w:t>
      </w:r>
    </w:p>
    <w:p>
      <w:pPr>
        <w:pStyle w:val="Code"/>
        <w:shd w:fill="F3F4F6" w:color="auto" w:val="clear"/>
        <w:spacing w:after="0" w:before="0"/>
        <w:ind w:left="0"/>
      </w:pPr>
      <w:r>
        <w:rPr>
          <w:rFonts w:ascii="Consolas" w:cs="Consolas" w:eastAsia="Consolas" w:hAnsi="Consolas"/>
        </w:rPr>
        <w:t xml:space="preserve">Resources:</w:t>
      </w:r>
    </w:p>
    <w:p>
      <w:pPr>
        <w:pStyle w:val="Code"/>
        <w:shd w:fill="F3F4F6" w:color="auto" w:val="clear"/>
        <w:spacing w:after="0" w:before="0"/>
        <w:ind w:left="0"/>
      </w:pPr>
      <w:r>
        <w:rPr>
          <w:rFonts w:ascii="Consolas" w:cs="Consolas" w:eastAsia="Consolas" w:hAnsi="Consolas"/>
        </w:rPr>
        <w:t xml:space="preserve">  Bus:</w:t>
      </w:r>
    </w:p>
    <w:p>
      <w:pPr>
        <w:pStyle w:val="Code"/>
        <w:shd w:fill="F3F4F6" w:color="auto" w:val="clear"/>
        <w:spacing w:after="0" w:before="0"/>
        <w:ind w:left="0"/>
      </w:pPr>
      <w:r>
        <w:rPr>
          <w:rFonts w:ascii="Consolas" w:cs="Consolas" w:eastAsia="Consolas" w:hAnsi="Consolas"/>
        </w:rPr>
        <w:t xml:space="preserve">    Type: AWS::Events::EventBus</w:t>
      </w:r>
    </w:p>
    <w:p>
      <w:pPr>
        <w:pStyle w:val="Code"/>
        <w:shd w:fill="F3F4F6" w:color="auto" w:val="clear"/>
        <w:spacing w:after="0" w:before="0"/>
        <w:ind w:left="0"/>
      </w:pPr>
      <w:r>
        <w:rPr>
          <w:rFonts w:ascii="Consolas" w:cs="Consolas" w:eastAsia="Consolas" w:hAnsi="Consolas"/>
        </w:rPr>
        <w:t xml:space="preserve">    Properties: { Name: !Sub "apex-events-cfn-${Env}" }</w:t>
      </w:r>
    </w:p>
    <w:p>
      <w:pPr>
        <w:pStyle w:val="Code"/>
        <w:shd w:fill="F3F4F6" w:color="auto" w:val="clear"/>
        <w:spacing w:after="0" w:before="0"/>
        <w:ind w:left="0"/>
      </w:pPr>
      <w:r>
        <w:rPr>
          <w:rFonts w:ascii="Consolas" w:cs="Consolas" w:eastAsia="Consolas" w:hAnsi="Consolas"/>
        </w:rPr>
        <w:t xml:space="preserve">  Dlq:</w:t>
      </w:r>
    </w:p>
    <w:p>
      <w:pPr>
        <w:pStyle w:val="Code"/>
        <w:shd w:fill="F3F4F6" w:color="auto" w:val="clear"/>
        <w:spacing w:after="0" w:before="0"/>
        <w:ind w:left="0"/>
      </w:pPr>
      <w:r>
        <w:rPr>
          <w:rFonts w:ascii="Consolas" w:cs="Consolas" w:eastAsia="Consolas" w:hAnsi="Consolas"/>
        </w:rPr>
        <w:t xml:space="preserve">    Type: AWS::SQS::Queue</w:t>
      </w:r>
    </w:p>
    <w:p>
      <w:pPr>
        <w:pStyle w:val="Code"/>
        <w:shd w:fill="F3F4F6" w:color="auto" w:val="clear"/>
        <w:spacing w:after="0" w:before="0"/>
        <w:ind w:left="0"/>
      </w:pPr>
      <w:r>
        <w:rPr>
          <w:rFonts w:ascii="Consolas" w:cs="Consolas" w:eastAsia="Consolas" w:hAnsi="Consolas"/>
        </w:rPr>
        <w:t xml:space="preserve">    Properties: { MessageRetentionPeriod: 1209600, SqsManagedSseEnabled: true }</w:t>
      </w:r>
    </w:p>
    <w:p>
      <w:pPr>
        <w:pStyle w:val="Code"/>
        <w:shd w:fill="F3F4F6" w:color="auto" w:val="clear"/>
        <w:spacing w:after="0" w:before="0"/>
        <w:ind w:left="0"/>
      </w:pPr>
      <w:r>
        <w:rPr>
          <w:rFonts w:ascii="Consolas" w:cs="Consolas" w:eastAsia="Consolas" w:hAnsi="Consolas"/>
        </w:rPr>
        <w:t xml:space="preserve">  Queue:</w:t>
      </w:r>
    </w:p>
    <w:p>
      <w:pPr>
        <w:pStyle w:val="Code"/>
        <w:shd w:fill="F3F4F6" w:color="auto" w:val="clear"/>
        <w:spacing w:after="0" w:before="0"/>
        <w:ind w:left="0"/>
      </w:pPr>
      <w:r>
        <w:rPr>
          <w:rFonts w:ascii="Consolas" w:cs="Consolas" w:eastAsia="Consolas" w:hAnsi="Consolas"/>
        </w:rPr>
        <w:t xml:space="preserve">    Type: AWS::SQS::Queue</w:t>
      </w:r>
    </w:p>
    <w:p>
      <w:pPr>
        <w:pStyle w:val="Code"/>
        <w:shd w:fill="F3F4F6" w:color="auto" w:val="clear"/>
        <w:spacing w:after="0" w:before="0"/>
        <w:ind w:left="0"/>
      </w:pPr>
      <w:r>
        <w:rPr>
          <w:rFonts w:ascii="Consolas" w:cs="Consolas" w:eastAsia="Consolas" w:hAnsi="Consolas"/>
        </w:rPr>
        <w:t xml:space="preserve">    Properties:</w:t>
      </w:r>
    </w:p>
    <w:p>
      <w:pPr>
        <w:pStyle w:val="Code"/>
        <w:shd w:fill="F3F4F6" w:color="auto" w:val="clear"/>
        <w:spacing w:after="0" w:before="0"/>
        <w:ind w:left="0"/>
      </w:pPr>
      <w:r>
        <w:rPr>
          <w:rFonts w:ascii="Consolas" w:cs="Consolas" w:eastAsia="Consolas" w:hAnsi="Consolas"/>
        </w:rPr>
        <w:t xml:space="preserve">      VisibilityTimeout: 180</w:t>
      </w:r>
    </w:p>
    <w:p>
      <w:pPr>
        <w:pStyle w:val="Code"/>
        <w:shd w:fill="F3F4F6" w:color="auto" w:val="clear"/>
        <w:spacing w:after="0" w:before="0"/>
        <w:ind w:left="0"/>
      </w:pPr>
      <w:r>
        <w:rPr>
          <w:rFonts w:ascii="Consolas" w:cs="Consolas" w:eastAsia="Consolas" w:hAnsi="Consolas"/>
        </w:rPr>
        <w:t xml:space="preserve">      SqsManagedSseEnabled: true</w:t>
      </w:r>
    </w:p>
    <w:p>
      <w:pPr>
        <w:pStyle w:val="Code"/>
        <w:shd w:fill="F3F4F6" w:color="auto" w:val="clear"/>
        <w:spacing w:after="0" w:before="0"/>
        <w:ind w:left="0"/>
      </w:pPr>
      <w:r>
        <w:rPr>
          <w:rFonts w:ascii="Consolas" w:cs="Consolas" w:eastAsia="Consolas" w:hAnsi="Consolas"/>
        </w:rPr>
        <w:t xml:space="preserve">      RedrivePolicy: { deadLetterTargetArn: !GetAtt Dlq.Arn, maxReceiveCount: 5 }</w:t>
      </w:r>
    </w:p>
    <w:p>
      <w:pPr>
        <w:pStyle w:val="Code"/>
        <w:shd w:fill="F3F4F6" w:color="auto" w:val="clear"/>
        <w:spacing w:after="0" w:before="0"/>
        <w:ind w:left="0"/>
      </w:pPr>
      <w:r>
        <w:rPr>
          <w:rFonts w:ascii="Consolas" w:cs="Consolas" w:eastAsia="Consolas" w:hAnsi="Consolas"/>
        </w:rPr>
        <w:t xml:space="preserve">  QueuePolicy:</w:t>
      </w:r>
    </w:p>
    <w:p>
      <w:pPr>
        <w:pStyle w:val="Code"/>
        <w:shd w:fill="F3F4F6" w:color="auto" w:val="clear"/>
        <w:spacing w:after="0" w:before="0"/>
        <w:ind w:left="0"/>
      </w:pPr>
      <w:r>
        <w:rPr>
          <w:rFonts w:ascii="Consolas" w:cs="Consolas" w:eastAsia="Consolas" w:hAnsi="Consolas"/>
        </w:rPr>
        <w:t xml:space="preserve">    Type: AWS::SQS::QueuePolicy</w:t>
      </w:r>
    </w:p>
    <w:p>
      <w:pPr>
        <w:pStyle w:val="Code"/>
        <w:shd w:fill="F3F4F6" w:color="auto" w:val="clear"/>
        <w:spacing w:after="0" w:before="0"/>
        <w:ind w:left="0"/>
      </w:pPr>
      <w:r>
        <w:rPr>
          <w:rFonts w:ascii="Consolas" w:cs="Consolas" w:eastAsia="Consolas" w:hAnsi="Consolas"/>
        </w:rPr>
        <w:t xml:space="preserve">    Properties:</w:t>
      </w:r>
    </w:p>
    <w:p>
      <w:pPr>
        <w:pStyle w:val="Code"/>
        <w:shd w:fill="F3F4F6" w:color="auto" w:val="clear"/>
        <w:spacing w:after="0" w:before="0"/>
        <w:ind w:left="0"/>
      </w:pPr>
      <w:r>
        <w:rPr>
          <w:rFonts w:ascii="Consolas" w:cs="Consolas" w:eastAsia="Consolas" w:hAnsi="Consolas"/>
        </w:rPr>
        <w:t xml:space="preserve">      Queues: [!Ref Queue]</w:t>
      </w:r>
    </w:p>
    <w:p>
      <w:pPr>
        <w:pStyle w:val="Code"/>
        <w:shd w:fill="F3F4F6" w:color="auto" w:val="clear"/>
        <w:spacing w:after="0" w:before="0"/>
        <w:ind w:left="0"/>
      </w:pPr>
      <w:r>
        <w:rPr>
          <w:rFonts w:ascii="Consolas" w:cs="Consolas" w:eastAsia="Consolas" w:hAnsi="Consolas"/>
        </w:rPr>
        <w:t xml:space="preserve">      PolicyDocument:</w:t>
      </w:r>
    </w:p>
    <w:p>
      <w:pPr>
        <w:pStyle w:val="Code"/>
        <w:shd w:fill="F3F4F6" w:color="auto" w:val="clear"/>
        <w:spacing w:after="0" w:before="0"/>
        <w:ind w:left="0"/>
      </w:pPr>
      <w:r>
        <w:rPr>
          <w:rFonts w:ascii="Consolas" w:cs="Consolas" w:eastAsia="Consolas" w:hAnsi="Consolas"/>
        </w:rPr>
        <w:t xml:space="preserve">        Statement:</w:t>
      </w:r>
    </w:p>
    <w:p>
      <w:pPr>
        <w:pStyle w:val="Code"/>
        <w:shd w:fill="F3F4F6" w:color="auto" w:val="clear"/>
        <w:spacing w:after="0" w:before="0"/>
        <w:ind w:left="0"/>
      </w:pPr>
      <w:r>
        <w:rPr>
          <w:rFonts w:ascii="Consolas" w:cs="Consolas" w:eastAsia="Consolas" w:hAnsi="Consolas"/>
        </w:rPr>
        <w:t xml:space="preserve">          - Effect: Allow</w:t>
      </w:r>
    </w:p>
    <w:p>
      <w:pPr>
        <w:pStyle w:val="Code"/>
        <w:shd w:fill="F3F4F6" w:color="auto" w:val="clear"/>
        <w:spacing w:after="0" w:before="0"/>
        <w:ind w:left="0"/>
      </w:pPr>
      <w:r>
        <w:rPr>
          <w:rFonts w:ascii="Consolas" w:cs="Consolas" w:eastAsia="Consolas" w:hAnsi="Consolas"/>
        </w:rPr>
        <w:t xml:space="preserve">            Principal: { Service: events.amazonaws.com }</w:t>
      </w:r>
    </w:p>
    <w:p>
      <w:pPr>
        <w:pStyle w:val="Code"/>
        <w:shd w:fill="F3F4F6" w:color="auto" w:val="clear"/>
        <w:spacing w:after="0" w:before="0"/>
        <w:ind w:left="0"/>
      </w:pPr>
      <w:r>
        <w:rPr>
          <w:rFonts w:ascii="Consolas" w:cs="Consolas" w:eastAsia="Consolas" w:hAnsi="Consolas"/>
        </w:rPr>
        <w:t xml:space="preserve">            Action: sqs:SendMessage</w:t>
      </w:r>
    </w:p>
    <w:p>
      <w:pPr>
        <w:pStyle w:val="Code"/>
        <w:shd w:fill="F3F4F6" w:color="auto" w:val="clear"/>
        <w:spacing w:after="0" w:before="0"/>
        <w:ind w:left="0"/>
      </w:pPr>
      <w:r>
        <w:rPr>
          <w:rFonts w:ascii="Consolas" w:cs="Consolas" w:eastAsia="Consolas" w:hAnsi="Consolas"/>
        </w:rPr>
        <w:t xml:space="preserve">            Resource: !GetAtt Queue.Arn</w:t>
      </w:r>
    </w:p>
    <w:p>
      <w:pPr>
        <w:pStyle w:val="Code"/>
        <w:shd w:fill="F3F4F6" w:color="auto" w:val="clear"/>
        <w:spacing w:after="0" w:before="0"/>
        <w:ind w:left="0"/>
      </w:pPr>
      <w:r>
        <w:rPr>
          <w:rFonts w:ascii="Consolas" w:cs="Consolas" w:eastAsia="Consolas" w:hAnsi="Consolas"/>
        </w:rPr>
        <w:t xml:space="preserve">            Condition: { ArnEquals: { aws:SourceArn: !GetAtt AddressRule.Arn } }</w:t>
      </w:r>
    </w:p>
    <w:p>
      <w:pPr>
        <w:pStyle w:val="Code"/>
        <w:shd w:fill="F3F4F6" w:color="auto" w:val="clear"/>
        <w:spacing w:after="0" w:before="0"/>
        <w:ind w:left="0"/>
      </w:pPr>
      <w:r>
        <w:rPr>
          <w:rFonts w:ascii="Consolas" w:cs="Consolas" w:eastAsia="Consolas" w:hAnsi="Consolas"/>
        </w:rPr>
        <w:t xml:space="preserve">  AddressRule:</w:t>
      </w:r>
    </w:p>
    <w:p>
      <w:pPr>
        <w:pStyle w:val="Code"/>
        <w:shd w:fill="F3F4F6" w:color="auto" w:val="clear"/>
        <w:spacing w:after="0" w:before="0"/>
        <w:ind w:left="0"/>
      </w:pPr>
      <w:r>
        <w:rPr>
          <w:rFonts w:ascii="Consolas" w:cs="Consolas" w:eastAsia="Consolas" w:hAnsi="Consolas"/>
        </w:rPr>
        <w:t xml:space="preserve">    Type: AWS::Events::Rule</w:t>
      </w:r>
    </w:p>
    <w:p>
      <w:pPr>
        <w:pStyle w:val="Code"/>
        <w:shd w:fill="F3F4F6" w:color="auto" w:val="clear"/>
        <w:spacing w:after="0" w:before="0"/>
        <w:ind w:left="0"/>
      </w:pPr>
      <w:r>
        <w:rPr>
          <w:rFonts w:ascii="Consolas" w:cs="Consolas" w:eastAsia="Consolas" w:hAnsi="Consolas"/>
        </w:rPr>
        <w:t xml:space="preserve">    Properties:</w:t>
      </w:r>
    </w:p>
    <w:p>
      <w:pPr>
        <w:pStyle w:val="Code"/>
        <w:shd w:fill="F3F4F6" w:color="auto" w:val="clear"/>
        <w:spacing w:after="0" w:before="0"/>
        <w:ind w:left="0"/>
      </w:pPr>
      <w:r>
        <w:rPr>
          <w:rFonts w:ascii="Consolas" w:cs="Consolas" w:eastAsia="Consolas" w:hAnsi="Consolas"/>
        </w:rPr>
        <w:t xml:space="preserve">      EventBusName: !Ref Bus</w:t>
      </w:r>
    </w:p>
    <w:p>
      <w:pPr>
        <w:pStyle w:val="Code"/>
        <w:shd w:fill="F3F4F6" w:color="auto" w:val="clear"/>
        <w:spacing w:after="0" w:before="0"/>
        <w:ind w:left="0"/>
      </w:pPr>
      <w:r>
        <w:rPr>
          <w:rFonts w:ascii="Consolas" w:cs="Consolas" w:eastAsia="Consolas" w:hAnsi="Consolas"/>
        </w:rPr>
        <w:t xml:space="preserve">      EventPattern: { detail-type: [BorrowerAddressChanged] }</w:t>
      </w:r>
    </w:p>
    <w:p>
      <w:pPr>
        <w:pStyle w:val="Code"/>
        <w:shd w:fill="F3F4F6" w:color="auto" w:val="clear"/>
        <w:spacing w:after="0" w:before="0"/>
        <w:ind w:left="0"/>
      </w:pPr>
      <w:r>
        <w:rPr>
          <w:rFonts w:ascii="Consolas" w:cs="Consolas" w:eastAsia="Consolas" w:hAnsi="Consolas"/>
        </w:rPr>
        <w:t xml:space="preserve">      Targets: [{ Id: q, Arn: !GetAtt Queue.Arn }]</w:t>
      </w:r>
    </w:p>
    <w:p>
      <w:pPr>
        <w:pStyle w:val="Code"/>
        <w:shd w:fill="F3F4F6" w:color="auto" w:val="clear"/>
        <w:spacing w:after="0" w:before="0"/>
        <w:ind w:left="0"/>
      </w:pPr>
      <w:r>
        <w:rPr>
          <w:rFonts w:ascii="Consolas" w:cs="Consolas" w:eastAsia="Consolas" w:hAnsi="Consolas"/>
        </w:rPr>
        <w:t xml:space="preserve">Outputs:</w:t>
      </w:r>
    </w:p>
    <w:p>
      <w:pPr>
        <w:pStyle w:val="Code"/>
        <w:shd w:fill="F3F4F6" w:color="auto" w:val="clear"/>
        <w:spacing w:after="160" w:before="0"/>
        <w:ind w:left="0"/>
      </w:pPr>
      <w:r>
        <w:rPr>
          <w:rFonts w:ascii="Consolas" w:cs="Consolas" w:eastAsia="Consolas" w:hAnsi="Consolas"/>
        </w:rPr>
        <w:t xml:space="preserve">  BusArn: { Value: !GetAtt Bus.Arn, Export: { Name: !Sub "apex-${Env}-bus-arn" } }</w:t>
      </w:r>
    </w:p>
    <w:p>
      <w:pPr>
        <w:spacing w:after="120"/>
      </w:pPr>
      <w:r>
        <w:t xml:space="preserve">Deploy with a </w:t>
      </w:r>
      <w:r>
        <w:rPr>
          <w:b/>
          <w:bCs/>
        </w:rPr>
        <w:t xml:space="preserve">change set</w:t>
      </w:r>
      <w:r>
        <w:t xml:space="preserve">: </w:t>
      </w:r>
      <w:r>
        <w:rPr>
          <w:rFonts w:ascii="Consolas" w:cs="Consolas" w:eastAsia="Consolas" w:hAnsi="Consolas"/>
          <w:sz w:val="19"/>
          <w:szCs w:val="19"/>
          <w:shd w:fill="EEF0F3" w:color="auto" w:val="clear"/>
        </w:rPr>
        <w:t xml:space="preserve">aws cloudformation create-change-set --stack-name apex-events-cfn --template-body file://events.yaml --change-set-name v1 --change-set-type CREATE</w:t>
      </w:r>
      <w:r>
        <w:t xml:space="preserve"> → review → </w:t>
      </w:r>
      <w:r>
        <w:rPr>
          <w:rFonts w:ascii="Consolas" w:cs="Consolas" w:eastAsia="Consolas" w:hAnsi="Consolas"/>
          <w:sz w:val="19"/>
          <w:szCs w:val="19"/>
          <w:shd w:fill="EEF0F3" w:color="auto" w:val="clear"/>
        </w:rPr>
        <w:t xml:space="preserve">execute-change-set</w:t>
      </w:r>
      <w:r>
        <w:t xml:space="preserve">. Make a manual console change to the queue, then run </w:t>
      </w:r>
      <w:r>
        <w:rPr>
          <w:b/>
          <w:bCs/>
        </w:rPr>
        <w:t xml:space="preserve">drift detection</w:t>
      </w:r>
      <w:r>
        <w:t xml:space="preserve"> and resolve it. Add a </w:t>
      </w:r>
      <w:r>
        <w:rPr>
          <w:b/>
          <w:bCs/>
        </w:rPr>
        <w:t xml:space="preserve">stack policy</w:t>
      </w:r>
      <w:r>
        <w:t xml:space="preserve"> that prevents replacing the bus. Lint with </w:t>
      </w:r>
      <w:r>
        <w:rPr>
          <w:rFonts w:ascii="Consolas" w:cs="Consolas" w:eastAsia="Consolas" w:hAnsi="Consolas"/>
          <w:sz w:val="19"/>
          <w:szCs w:val="19"/>
          <w:shd w:fill="EEF0F3" w:color="auto" w:val="clear"/>
        </w:rPr>
        <w:t xml:space="preserve">cfn-lint</w:t>
      </w:r>
      <w:r>
        <w:t xml:space="preserve">, scan with </w:t>
      </w:r>
      <w:r>
        <w:rPr>
          <w:rFonts w:ascii="Consolas" w:cs="Consolas" w:eastAsia="Consolas" w:hAnsi="Consolas"/>
          <w:sz w:val="19"/>
          <w:szCs w:val="19"/>
          <w:shd w:fill="EEF0F3" w:color="auto" w:val="clear"/>
        </w:rPr>
        <w:t xml:space="preserve">checkov</w:t>
      </w:r>
      <w:r>
        <w:t xml:space="preserve">.</w:t>
      </w:r>
    </w:p>
    <w:p>
      <w:pPr>
        <w:pStyle w:val="Heading2"/>
      </w:pPr>
      <w:r>
        <w:t xml:space="preserve">C2 — StackSets for an organization baseline</w:t>
      </w:r>
    </w:p>
    <w:p>
      <w:pPr>
        <w:spacing w:after="120"/>
      </w:pPr>
      <w:r>
        <w:t xml:space="preserve">From the management account, deploy a </w:t>
      </w:r>
      <w:r>
        <w:rPr>
          <w:b/>
          <w:bCs/>
        </w:rPr>
        <w:t xml:space="preserve">service-managed StackSet</w:t>
      </w:r>
      <w:r>
        <w:t xml:space="preserve"> to the </w:t>
      </w:r>
      <w:r>
        <w:rPr>
          <w:rFonts w:ascii="Consolas" w:cs="Consolas" w:eastAsia="Consolas" w:hAnsi="Consolas"/>
          <w:sz w:val="19"/>
          <w:szCs w:val="19"/>
          <w:shd w:fill="EEF0F3" w:color="auto" w:val="clear"/>
        </w:rPr>
        <w:t xml:space="preserve">Workloads</w:t>
      </w:r>
      <w:r>
        <w:t xml:space="preserve"> OU: IAM Access Analyzer analyzer, an S3 account-level Block Public Access setting via a custom resource or AWS Config rule ⚠, and a standard </w:t>
      </w:r>
      <w:r>
        <w:rPr>
          <w:rFonts w:ascii="Consolas" w:cs="Consolas" w:eastAsia="Consolas" w:hAnsi="Consolas"/>
          <w:sz w:val="19"/>
          <w:szCs w:val="19"/>
          <w:shd w:fill="EEF0F3" w:color="auto" w:val="clear"/>
        </w:rPr>
        <w:t xml:space="preserve">apex-readonly-audit</w:t>
      </w:r>
      <w:r>
        <w:t xml:space="preserve"> role trusted by apex-audit. Observe automatic deployment to a newly created account.</w:t>
      </w:r>
    </w:p>
    <w:p>
      <w:pPr>
        <w:pStyle w:val="Heading2"/>
      </w:pPr>
      <w:r>
        <w:t xml:space="preserve">C3 — CDK and the IaC decision</w:t>
      </w:r>
    </w:p>
    <w:p>
      <w:pPr>
        <w:spacing w:after="120"/>
      </w:pPr>
      <w:r>
        <w:t xml:space="preserve">Synthesize the same events stack with </w:t>
      </w:r>
      <w:r>
        <w:rPr>
          <w:b/>
          <w:bCs/>
        </w:rPr>
        <w:t xml:space="preserve">AWS CDK</w:t>
      </w:r>
      <w:r>
        <w:t xml:space="preserve"> (Python or TypeScript) and compare the generated template. Write </w:t>
      </w:r>
      <w:r>
        <w:rPr>
          <w:b/>
          <w:bCs/>
        </w:rPr>
        <w:t xml:space="preserve">ADR-026: Terraform vs CloudFormation vs CDK</w:t>
      </w:r>
      <w:r>
        <w:t xml:space="preserve"> — multi-cloud reach, state management, drift, org-wide rollout (StackSets), team skills, and why Apex keeps Terraform for multicloud while using StackSets for AWS org guardrails.</w:t>
      </w:r>
    </w:p>
    <w:p>
      <w:pPr>
        <w:pBdr>
          <w:bottom w:val="single" w:color="BFBFBF" w:sz="6" w:space="1"/>
        </w:pBdr>
        <w:spacing w:after="120" w:before="120"/>
      </w:pPr>
    </w:p>
    <w:p>
      <w:pPr>
        <w:pStyle w:val="Heading1"/>
      </w:pPr>
      <w:bookmarkStart w:name="s4" w:id="4"/>
      <w:r>
        <w:t xml:space="preserve">4. Free tier strategy</w:t>
      </w:r>
      <w:bookmarkEnd w:id="4"/>
    </w:p>
    <w:p>
      <w:pPr>
        <w:pStyle w:val="Heading2"/>
      </w:pPr>
      <w:r>
        <w:t xml:space="preserve">F1 — Know your account plan and design within it</w:t>
      </w:r>
    </w:p>
    <w:p>
      <w:pPr>
        <w:pStyle w:val="ListParagraph"/>
        <w:numPr>
          <w:ilvl w:val="0"/>
          <w:numId w:val="2"/>
        </w:numPr>
        <w:spacing w:after="60"/>
      </w:pPr>
      <w:r>
        <w:t xml:space="preserve">AWS accounts created after </w:t>
      </w:r>
      <w:r>
        <w:rPr>
          <w:b/>
          <w:bCs/>
        </w:rPr>
        <w:t xml:space="preserve">July 15, 2025</w:t>
      </w:r>
      <w:r>
        <w:t xml:space="preserve"> choose a </w:t>
      </w:r>
      <w:r>
        <w:rPr>
          <w:b/>
          <w:bCs/>
        </w:rPr>
        <w:t xml:space="preserve">free plan</w:t>
      </w:r>
      <w:r>
        <w:t xml:space="preserve"> or a </w:t>
      </w:r>
      <w:r>
        <w:rPr>
          <w:b/>
          <w:bCs/>
        </w:rPr>
        <w:t xml:space="preserve">paid plan</w:t>
      </w:r>
      <w:r>
        <w:t xml:space="preserve">. Both get $100 in sign-up credits plus up to $100 more for guided activities. The free plan restricts some services and purchases (for example Savings Plans, Reserved Instances and some Marketplace offers) and the account </w:t>
      </w:r>
      <w:r>
        <w:rPr>
          <w:b/>
          <w:bCs/>
        </w:rPr>
        <w:t xml:space="preserve">closes after 6 months</w:t>
      </w:r>
      <w:r>
        <w:t xml:space="preserve"> or when credits run out; AWS keeps the data for 90 days, then deletes it unless you upgrade. Joining AWS Organizations upgrades a free-plan account automatically. For this ~8-month programme, use the </w:t>
      </w:r>
      <w:r>
        <w:rPr>
          <w:b/>
          <w:bCs/>
        </w:rPr>
        <w:t xml:space="preserve">paid plan</w:t>
      </w:r>
      <w:r>
        <w:t xml:space="preserve"> from day 1 and rely on budgets plus credits.</w:t>
      </w:r>
    </w:p>
    <w:p>
      <w:pPr>
        <w:pStyle w:val="ListParagraph"/>
        <w:numPr>
          <w:ilvl w:val="0"/>
          <w:numId w:val="2"/>
        </w:numPr>
        <w:spacing w:after="60"/>
      </w:pPr>
      <w:r>
        <w:t xml:space="preserve">Over 30 services stay always free on both plans.</w:t>
      </w:r>
    </w:p>
    <w:p>
      <w:pPr>
        <w:pStyle w:val="ListParagraph"/>
        <w:numPr>
          <w:ilvl w:val="0"/>
          <w:numId w:val="2"/>
        </w:numPr>
        <w:spacing w:after="60"/>
      </w:pPr>
      <w:r>
        <w:t xml:space="preserve">Keep a </w:t>
      </w:r>
      <w:r>
        <w:rPr>
          <w:rFonts w:ascii="Consolas" w:cs="Consolas" w:eastAsia="Consolas" w:hAnsi="Consolas"/>
          <w:sz w:val="19"/>
          <w:szCs w:val="19"/>
          <w:shd w:fill="EEF0F3" w:color="auto" w:val="clear"/>
        </w:rPr>
        <w:t xml:space="preserve">docs/cost/free-tier-map.md</w:t>
      </w:r>
      <w:r>
        <w:t xml:space="preserve"> listing each component and whether it's always-free, credit-funded, or paid. Typical always-free building blocks (⚠ confirm current limits): Lambda requests, DynamoDB storage/capacity, SQS and SNS requests, CloudWatch basic metrics/alarms, Cognito monthly active users, KMS requests within limits.</w:t>
      </w:r>
    </w:p>
    <w:p>
      <w:pPr>
        <w:pStyle w:val="ListParagraph"/>
        <w:numPr>
          <w:ilvl w:val="0"/>
          <w:numId w:val="2"/>
        </w:numPr>
        <w:spacing w:after="60"/>
      </w:pPr>
      <w:r>
        <w:t xml:space="preserve">Salesforce Developer Edition and Okta Integrator Free are free but entitlement-limited; the Anypoint trial is time-boxed — the cost strategy is </w:t>
      </w:r>
      <w:r>
        <w:rPr>
          <w:b/>
          <w:bCs/>
        </w:rPr>
        <w:t xml:space="preserve">time management</w:t>
      </w:r>
      <w:r>
        <w:t xml:space="preserve"> (Phase 5 sequencing).</w:t>
      </w:r>
    </w:p>
    <w:p>
      <w:pPr>
        <w:pStyle w:val="ListParagraph"/>
        <w:numPr>
          <w:ilvl w:val="0"/>
          <w:numId w:val="2"/>
        </w:numPr>
        <w:spacing w:after="60"/>
      </w:pPr>
      <w:r>
        <w:t xml:space="preserve">Rule: never let the free tier drive the architecture in an ADR. Design for the requirement, then note the "lab cost mode" (e.g., single-AZ, scaled-to-zero) separately.</w:t>
      </w:r>
    </w:p>
    <w:p>
      <w:pPr>
        <w:pBdr>
          <w:bottom w:val="single" w:color="BFBFBF" w:sz="6" w:space="1"/>
        </w:pBdr>
        <w:spacing w:after="120" w:before="120"/>
      </w:pPr>
    </w:p>
    <w:p>
      <w:pPr>
        <w:pStyle w:val="Heading1"/>
      </w:pPr>
      <w:bookmarkStart w:name="s5" w:id="5"/>
      <w:r>
        <w:t xml:space="preserve">5. Containers and DevOps</w:t>
      </w:r>
      <w:bookmarkEnd w:id="5"/>
    </w:p>
    <w:p>
      <w:pPr>
        <w:pStyle w:val="Heading2"/>
      </w:pPr>
      <w:r>
        <w:t xml:space="preserve">D1 — Container standards</w:t>
      </w:r>
    </w:p>
    <w:p>
      <w:pPr>
        <w:spacing w:after="120"/>
      </w:pPr>
      <w:r>
        <w:t xml:space="preserve">Write </w:t>
      </w:r>
      <w:r>
        <w:rPr>
          <w:rFonts w:ascii="Consolas" w:cs="Consolas" w:eastAsia="Consolas" w:hAnsi="Consolas"/>
          <w:sz w:val="19"/>
          <w:szCs w:val="19"/>
          <w:shd w:fill="EEF0F3" w:color="auto" w:val="clear"/>
        </w:rPr>
        <w:t xml:space="preserve">docs/standards/containers.md</w:t>
      </w:r>
      <w:r>
        <w:t xml:space="preserve"> and apply it to the documents service, MCP server (Python), and ops portal:</w:t>
      </w:r>
    </w:p>
    <w:p>
      <w:pPr>
        <w:pStyle w:val="CodeLabel"/>
        <w:ind w:left="0"/>
      </w:pPr>
      <w:r>
        <w:t xml:space="preserve">dockerfile</w:t>
      </w:r>
    </w:p>
    <w:p>
      <w:pPr>
        <w:pStyle w:val="Code"/>
        <w:shd w:fill="F3F4F6" w:color="auto" w:val="clear"/>
        <w:spacing w:after="0" w:before="40"/>
        <w:ind w:left="0"/>
      </w:pPr>
      <w:r>
        <w:rPr>
          <w:rFonts w:ascii="Consolas" w:cs="Consolas" w:eastAsia="Consolas" w:hAnsi="Consolas"/>
        </w:rPr>
        <w:t xml:space="preserve"># syntax=docker/dockerfile:1</w:t>
      </w:r>
    </w:p>
    <w:p>
      <w:pPr>
        <w:pStyle w:val="Code"/>
        <w:shd w:fill="F3F4F6" w:color="auto" w:val="clear"/>
        <w:spacing w:after="0" w:before="0"/>
        <w:ind w:left="0"/>
      </w:pPr>
      <w:r>
        <w:rPr>
          <w:rFonts w:ascii="Consolas" w:cs="Consolas" w:eastAsia="Consolas" w:hAnsi="Consolas"/>
        </w:rPr>
        <w:t xml:space="preserve">FROM python:3.12-slim AS build</w:t>
      </w:r>
    </w:p>
    <w:p>
      <w:pPr>
        <w:pStyle w:val="Code"/>
        <w:shd w:fill="F3F4F6" w:color="auto" w:val="clear"/>
        <w:spacing w:after="0" w:before="0"/>
        <w:ind w:left="0"/>
      </w:pPr>
      <w:r>
        <w:rPr>
          <w:rFonts w:ascii="Consolas" w:cs="Consolas" w:eastAsia="Consolas" w:hAnsi="Consolas"/>
        </w:rPr>
        <w:t xml:space="preserve">WORKDIR /app</w:t>
      </w:r>
    </w:p>
    <w:p>
      <w:pPr>
        <w:pStyle w:val="Code"/>
        <w:shd w:fill="F3F4F6" w:color="auto" w:val="clear"/>
        <w:spacing w:after="0" w:before="0"/>
        <w:ind w:left="0"/>
      </w:pPr>
      <w:r>
        <w:rPr>
          <w:rFonts w:ascii="Consolas" w:cs="Consolas" w:eastAsia="Consolas" w:hAnsi="Consolas"/>
        </w:rPr>
        <w:t xml:space="preserve">COPY pyproject.toml uv.lock ./</w:t>
      </w:r>
    </w:p>
    <w:p>
      <w:pPr>
        <w:pStyle w:val="Code"/>
        <w:shd w:fill="F3F4F6" w:color="auto" w:val="clear"/>
        <w:spacing w:after="0" w:before="0"/>
        <w:ind w:left="0"/>
      </w:pPr>
      <w:r>
        <w:rPr>
          <w:rFonts w:ascii="Consolas" w:cs="Consolas" w:eastAsia="Consolas" w:hAnsi="Consolas"/>
        </w:rPr>
        <w:t xml:space="preserve">RUN pip install --no-cache-dir uv &amp;&amp; uv export --frozen --no-dev --no-emit-project &gt; requirements.txt \</w:t>
      </w:r>
    </w:p>
    <w:p>
      <w:pPr>
        <w:pStyle w:val="Code"/>
        <w:shd w:fill="F3F4F6" w:color="auto" w:val="clear"/>
        <w:spacing w:after="0" w:before="0"/>
        <w:ind w:left="0"/>
      </w:pPr>
      <w:r>
        <w:rPr>
          <w:rFonts w:ascii="Consolas" w:cs="Consolas" w:eastAsia="Consolas" w:hAnsi="Consolas"/>
        </w:rPr>
        <w:t xml:space="preserve"> &amp;&amp; pip wheel --no-cache-dir -r requirements.txt -w /wheels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FROM python:3.12-slim</w:t>
      </w:r>
    </w:p>
    <w:p>
      <w:pPr>
        <w:pStyle w:val="Code"/>
        <w:shd w:fill="F3F4F6" w:color="auto" w:val="clear"/>
        <w:spacing w:after="0" w:before="0"/>
        <w:ind w:left="0"/>
      </w:pPr>
      <w:r>
        <w:rPr>
          <w:rFonts w:ascii="Consolas" w:cs="Consolas" w:eastAsia="Consolas" w:hAnsi="Consolas"/>
        </w:rPr>
        <w:t xml:space="preserve">RUN useradd --uid 10001 --create-home app</w:t>
      </w:r>
    </w:p>
    <w:p>
      <w:pPr>
        <w:pStyle w:val="Code"/>
        <w:shd w:fill="F3F4F6" w:color="auto" w:val="clear"/>
        <w:spacing w:after="0" w:before="0"/>
        <w:ind w:left="0"/>
      </w:pPr>
      <w:r>
        <w:rPr>
          <w:rFonts w:ascii="Consolas" w:cs="Consolas" w:eastAsia="Consolas" w:hAnsi="Consolas"/>
        </w:rPr>
        <w:t xml:space="preserve">WORKDIR /app</w:t>
      </w:r>
    </w:p>
    <w:p>
      <w:pPr>
        <w:pStyle w:val="Code"/>
        <w:shd w:fill="F3F4F6" w:color="auto" w:val="clear"/>
        <w:spacing w:after="0" w:before="0"/>
        <w:ind w:left="0"/>
      </w:pPr>
      <w:r>
        <w:rPr>
          <w:rFonts w:ascii="Consolas" w:cs="Consolas" w:eastAsia="Consolas" w:hAnsi="Consolas"/>
        </w:rPr>
        <w:t xml:space="preserve">COPY --from=build /wheels /wheels</w:t>
      </w:r>
    </w:p>
    <w:p>
      <w:pPr>
        <w:pStyle w:val="Code"/>
        <w:shd w:fill="F3F4F6" w:color="auto" w:val="clear"/>
        <w:spacing w:after="0" w:before="0"/>
        <w:ind w:left="0"/>
      </w:pPr>
      <w:r>
        <w:rPr>
          <w:rFonts w:ascii="Consolas" w:cs="Consolas" w:eastAsia="Consolas" w:hAnsi="Consolas"/>
        </w:rPr>
        <w:t xml:space="preserve">RUN pip install --no-cache-dir /wheels/* &amp;&amp; rm -rf /wheels</w:t>
      </w:r>
    </w:p>
    <w:p>
      <w:pPr>
        <w:pStyle w:val="Code"/>
        <w:shd w:fill="F3F4F6" w:color="auto" w:val="clear"/>
        <w:spacing w:after="0" w:before="0"/>
        <w:ind w:left="0"/>
      </w:pPr>
      <w:r>
        <w:rPr>
          <w:rFonts w:ascii="Consolas" w:cs="Consolas" w:eastAsia="Consolas" w:hAnsi="Consolas"/>
        </w:rPr>
        <w:t xml:space="preserve">COPY --chown=app:app src/ ./src</w:t>
      </w:r>
    </w:p>
    <w:p>
      <w:pPr>
        <w:pStyle w:val="Code"/>
        <w:shd w:fill="F3F4F6" w:color="auto" w:val="clear"/>
        <w:spacing w:after="0" w:before="0"/>
        <w:ind w:left="0"/>
      </w:pPr>
      <w:r>
        <w:rPr>
          <w:rFonts w:ascii="Consolas" w:cs="Consolas" w:eastAsia="Consolas" w:hAnsi="Consolas"/>
        </w:rPr>
        <w:t xml:space="preserve">USER 10001</w:t>
      </w:r>
    </w:p>
    <w:p>
      <w:pPr>
        <w:pStyle w:val="Code"/>
        <w:shd w:fill="F3F4F6" w:color="auto" w:val="clear"/>
        <w:spacing w:after="0" w:before="0"/>
        <w:ind w:left="0"/>
      </w:pPr>
      <w:r>
        <w:rPr>
          <w:rFonts w:ascii="Consolas" w:cs="Consolas" w:eastAsia="Consolas" w:hAnsi="Consolas"/>
        </w:rPr>
        <w:t xml:space="preserve">EXPOSE 8000</w:t>
      </w:r>
    </w:p>
    <w:p>
      <w:pPr>
        <w:pStyle w:val="Code"/>
        <w:shd w:fill="F3F4F6" w:color="auto" w:val="clear"/>
        <w:spacing w:after="0" w:before="0"/>
        <w:ind w:left="0"/>
      </w:pPr>
      <w:r>
        <w:rPr>
          <w:rFonts w:ascii="Consolas" w:cs="Consolas" w:eastAsia="Consolas" w:hAnsi="Consolas"/>
        </w:rPr>
        <w:t xml:space="preserve">HEALTHCHECK --interval=30s --timeout=3s CMD python -c "import urllib.request; urllib.request.urlopen('http://localhost:8000/health')"</w:t>
      </w:r>
    </w:p>
    <w:p>
      <w:pPr>
        <w:pStyle w:val="Code"/>
        <w:shd w:fill="F3F4F6" w:color="auto" w:val="clear"/>
        <w:spacing w:after="160" w:before="0"/>
        <w:ind w:left="0"/>
      </w:pPr>
      <w:r>
        <w:rPr>
          <w:rFonts w:ascii="Consolas" w:cs="Consolas" w:eastAsia="Consolas" w:hAnsi="Consolas"/>
        </w:rPr>
        <w:t xml:space="preserve">CMD ["python", "-m", "uvicorn", "src.main:app", "--host", "0.0.0.0", "--port", "8000"]</w:t>
      </w:r>
    </w:p>
    <w:p>
      <w:pPr>
        <w:spacing w:after="120"/>
      </w:pPr>
      <w:r>
        <w:t xml:space="preserve">Standards: multi-stage builds, pinned base images (digest in CI), non-root user, read-only root filesystem on ECS, no secrets in images, healthchecks, one process per container, </w:t>
      </w:r>
      <w:r>
        <w:rPr>
          <w:rFonts w:ascii="Consolas" w:cs="Consolas" w:eastAsia="Consolas" w:hAnsi="Consolas"/>
          <w:sz w:val="19"/>
          <w:szCs w:val="19"/>
          <w:shd w:fill="EEF0F3" w:color="auto" w:val="clear"/>
        </w:rPr>
        <w:t xml:space="preserve">.dockerignore</w:t>
      </w:r>
      <w:r>
        <w:t xml:space="preserve">.</w:t>
      </w:r>
    </w:p>
    <w:p>
      <w:pPr>
        <w:pStyle w:val="Heading2"/>
      </w:pPr>
      <w:r>
        <w:t xml:space="preserve">D2 — Local platform with Docker Compose</w:t>
      </w:r>
    </w:p>
    <w:p>
      <w:pPr>
        <w:spacing w:after="120"/>
      </w:pPr>
      <w:r>
        <w:t xml:space="preserve">One </w:t>
      </w:r>
      <w:r>
        <w:rPr>
          <w:rFonts w:ascii="Consolas" w:cs="Consolas" w:eastAsia="Consolas" w:hAnsi="Consolas"/>
          <w:sz w:val="19"/>
          <w:szCs w:val="19"/>
          <w:shd w:fill="EEF0F3" w:color="auto" w:val="clear"/>
        </w:rPr>
        <w:t xml:space="preserve">docker-compose.yml</w:t>
      </w:r>
      <w:r>
        <w:t xml:space="preserve"> for local development: documents service (</w:t>
      </w:r>
      <w:r>
        <w:rPr>
          <w:rFonts w:ascii="Consolas" w:cs="Consolas" w:eastAsia="Consolas" w:hAnsi="Consolas"/>
          <w:sz w:val="19"/>
          <w:szCs w:val="19"/>
          <w:shd w:fill="EEF0F3" w:color="auto" w:val="clear"/>
        </w:rPr>
        <w:t xml:space="preserve">docs</w:t>
      </w:r>
      <w:r>
        <w:t xml:space="preserve">), Nginx (X2), pgvector, Langfuse, MCP server, a mock Okta-like token issuer for offline tests (e.g., a local OIDC mock) ⚠. Document </w:t>
      </w:r>
      <w:r>
        <w:rPr>
          <w:rFonts w:ascii="Consolas" w:cs="Consolas" w:eastAsia="Consolas" w:hAnsi="Consolas"/>
          <w:sz w:val="19"/>
          <w:szCs w:val="19"/>
          <w:shd w:fill="EEF0F3" w:color="auto" w:val="clear"/>
        </w:rPr>
        <w:t xml:space="preserve">make up / make test / make down</w:t>
      </w:r>
      <w:r>
        <w:t xml:space="preserve">.</w:t>
      </w:r>
    </w:p>
    <w:p>
      <w:pPr>
        <w:pStyle w:val="Heading2"/>
      </w:pPr>
      <w:r>
        <w:t xml:space="preserve">D3 — Software supply chain</w:t>
      </w:r>
    </w:p>
    <w:p>
      <w:pPr>
        <w:spacing w:after="120"/>
      </w:pPr>
      <w:r>
        <w:t xml:space="preserve">In CI: </w:t>
      </w:r>
      <w:r>
        <w:rPr>
          <w:b/>
          <w:bCs/>
        </w:rPr>
        <w:t xml:space="preserve">Trivy</w:t>
      </w:r>
      <w:r>
        <w:t xml:space="preserve"> image scan (fail on critical), </w:t>
      </w:r>
      <w:r>
        <w:rPr>
          <w:b/>
          <w:bCs/>
        </w:rPr>
        <w:t xml:space="preserve">Syft</w:t>
      </w:r>
      <w:r>
        <w:t xml:space="preserve"> SBOM (SPDX JSON) attached to the release, </w:t>
      </w:r>
      <w:r>
        <w:rPr>
          <w:b/>
          <w:bCs/>
        </w:rPr>
        <w:t xml:space="preserve">ECR scan on push</w:t>
      </w:r>
      <w:r>
        <w:t xml:space="preserve">, optional </w:t>
      </w:r>
      <w:r>
        <w:rPr>
          <w:b/>
          <w:bCs/>
        </w:rPr>
        <w:t xml:space="preserve">cosign</w:t>
      </w:r>
      <w:r>
        <w:t xml:space="preserve"> signing and verification before deploy. Dependabot/Renovate for dependency updates across Python, Node, Maven, Terraform providers.</w:t>
      </w:r>
    </w:p>
    <w:p>
      <w:pPr>
        <w:pStyle w:val="Heading2"/>
      </w:pPr>
      <w:r>
        <w:t xml:space="preserve">D4 — CI quality gates per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6"/>
        <w:gridCol w:w="1999"/>
        <w:gridCol w:w="1896"/>
        <w:gridCol w:w="1865"/>
        <w:gridCol w:w="2154"/>
      </w:tblGrid>
      <w:tr>
        <w:trPr>
          <w:cantSplit/>
          <w:tblHeader/>
        </w:trPr>
        <w:tc>
          <w:tcPr>
            <w:tcW w:type="dxa" w:w="216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Stack</w:t>
            </w:r>
          </w:p>
        </w:tc>
        <w:tc>
          <w:tcPr>
            <w:tcW w:type="dxa" w:w="199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Lint/format</w:t>
            </w:r>
          </w:p>
        </w:tc>
        <w:tc>
          <w:tcPr>
            <w:tcW w:type="dxa" w:w="189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Tests</w:t>
            </w:r>
          </w:p>
        </w:tc>
        <w:tc>
          <w:tcPr>
            <w:tcW w:type="dxa" w:w="18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Security</w:t>
            </w:r>
          </w:p>
        </w:tc>
        <w:tc>
          <w:tcPr>
            <w:tcW w:type="dxa" w:w="215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Gate</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Terraform</w:t>
            </w:r>
          </w:p>
        </w:tc>
        <w:tc>
          <w:tcPr>
            <w:tcW w:type="dxa" w:w="19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terraform fmt</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tflint</w:t>
            </w:r>
          </w:p>
        </w:tc>
        <w:tc>
          <w:tcPr>
            <w:tcW w:type="dxa" w:w="18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terraform test</w:t>
            </w:r>
          </w:p>
        </w:tc>
        <w:tc>
          <w:tcPr>
            <w:tcW w:type="dxa" w:w="18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checkov</w:t>
            </w:r>
          </w:p>
        </w:tc>
        <w:tc>
          <w:tcPr>
            <w:tcW w:type="dxa" w:w="21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plan reviewed in PR</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CloudFormation</w:t>
            </w:r>
          </w:p>
        </w:tc>
        <w:tc>
          <w:tcPr>
            <w:tcW w:type="dxa" w:w="19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cfn-lint</w:t>
            </w:r>
          </w:p>
        </w:tc>
        <w:tc>
          <w:tcPr>
            <w:tcW w:type="dxa" w:w="18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change set preview</w:t>
            </w:r>
          </w:p>
        </w:tc>
        <w:tc>
          <w:tcPr>
            <w:tcW w:type="dxa" w:w="18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checkov</w:t>
            </w:r>
          </w:p>
        </w:tc>
        <w:tc>
          <w:tcPr>
            <w:tcW w:type="dxa" w:w="21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change set approved</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Python (agent, MCP, Lambdas)</w:t>
            </w:r>
          </w:p>
        </w:tc>
        <w:tc>
          <w:tcPr>
            <w:tcW w:type="dxa" w:w="19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ruff</w:t>
            </w:r>
          </w:p>
        </w:tc>
        <w:tc>
          <w:tcPr>
            <w:tcW w:type="dxa" w:w="18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pytest</w:t>
            </w:r>
            <w:r>
              <w:rPr>
                <w:b w:val="false"/>
                <w:bCs w:val="false"/>
                <w:sz w:val="17"/>
                <w:szCs w:val="17"/>
              </w:rPr>
              <w:t xml:space="preserve"> + eval suite</w:t>
            </w:r>
          </w:p>
        </w:tc>
        <w:tc>
          <w:tcPr>
            <w:tcW w:type="dxa" w:w="18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semgrep</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pip-audit</w:t>
            </w:r>
          </w:p>
        </w:tc>
        <w:tc>
          <w:tcPr>
            <w:tcW w:type="dxa" w:w="21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evals hard gates = 0 violations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Mule</w:t>
            </w:r>
          </w:p>
        </w:tc>
        <w:tc>
          <w:tcPr>
            <w:tcW w:type="dxa" w:w="19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API governance lint</w:t>
            </w:r>
          </w:p>
        </w:tc>
        <w:tc>
          <w:tcPr>
            <w:tcW w:type="dxa" w:w="18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MUnit ≥ 80% coverage</w:t>
            </w:r>
          </w:p>
        </w:tc>
        <w:tc>
          <w:tcPr>
            <w:tcW w:type="dxa" w:w="18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dependency check</w:t>
            </w:r>
          </w:p>
        </w:tc>
        <w:tc>
          <w:tcPr>
            <w:tcW w:type="dxa" w:w="21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governance conformance</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w:t>
            </w:r>
          </w:p>
        </w:tc>
        <w:tc>
          <w:tcPr>
            <w:tcW w:type="dxa" w:w="19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sf code-analyzer</w:t>
            </w:r>
            <w:r>
              <w:rPr>
                <w:b w:val="false"/>
                <w:bCs w:val="false"/>
                <w:sz w:val="17"/>
                <w:szCs w:val="17"/>
              </w:rPr>
              <w:t xml:space="preserve"> ⚠</w:t>
            </w:r>
          </w:p>
        </w:tc>
        <w:tc>
          <w:tcPr>
            <w:tcW w:type="dxa" w:w="18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 tests ≥ 85%, flow tests</w:t>
            </w:r>
          </w:p>
        </w:tc>
        <w:tc>
          <w:tcPr>
            <w:tcW w:type="dxa" w:w="18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code analyzer security rules</w:t>
            </w:r>
          </w:p>
        </w:tc>
        <w:tc>
          <w:tcPr>
            <w:tcW w:type="dxa" w:w="21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validation deploy succeeds</w:t>
            </w:r>
          </w:p>
        </w:tc>
      </w:tr>
      <w:tr>
        <w:trPr>
          <w:cantSplit/>
        </w:trPr>
        <w:tc>
          <w:tcPr>
            <w:tcW w:type="dxa" w:w="21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Containers</w:t>
            </w:r>
          </w:p>
        </w:tc>
        <w:tc>
          <w:tcPr>
            <w:tcW w:type="dxa" w:w="19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hadolint</w:t>
            </w:r>
          </w:p>
        </w:tc>
        <w:tc>
          <w:tcPr>
            <w:tcW w:type="dxa" w:w="18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container start + health</w:t>
            </w:r>
          </w:p>
        </w:tc>
        <w:tc>
          <w:tcPr>
            <w:tcW w:type="dxa" w:w="18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Trivy, SBOM</w:t>
            </w:r>
          </w:p>
        </w:tc>
        <w:tc>
          <w:tcPr>
            <w:tcW w:type="dxa" w:w="215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critical CVEs</w:t>
            </w:r>
          </w:p>
        </w:tc>
      </w:tr>
    </w:tbl>
    <w:p>
      <w:pPr>
        <w:spacing w:after="120"/>
      </w:pPr>
    </w:p>
    <w:p>
      <w:pPr>
        <w:pStyle w:val="Heading2"/>
      </w:pPr>
      <w:r>
        <w:t xml:space="preserve">D5 — Release strategies</w:t>
      </w:r>
    </w:p>
    <w:p>
      <w:pPr>
        <w:pStyle w:val="ListParagraph"/>
        <w:numPr>
          <w:ilvl w:val="0"/>
          <w:numId w:val="3"/>
        </w:numPr>
        <w:spacing w:after="60"/>
      </w:pPr>
      <w:r>
        <w:rPr>
          <w:b/>
          <w:bCs/>
        </w:rPr>
        <w:t xml:space="preserve">ECS:</w:t>
      </w:r>
      <w:r>
        <w:t xml:space="preserve"> blue/green deployment (ECS native blue/green or CodeDeploy ⚠) with automatic rollback on ALB 5xx alarm.</w:t>
      </w:r>
    </w:p>
    <w:p>
      <w:pPr>
        <w:pStyle w:val="ListParagraph"/>
        <w:numPr>
          <w:ilvl w:val="0"/>
          <w:numId w:val="3"/>
        </w:numPr>
        <w:spacing w:after="60"/>
      </w:pPr>
      <w:r>
        <w:rPr>
          <w:b/>
          <w:bCs/>
        </w:rPr>
        <w:t xml:space="preserve">Lambda:</w:t>
      </w:r>
      <w:r>
        <w:t xml:space="preserve"> versions + alias with weighted traffic (10% canary for 10 minutes) and CloudWatch alarm rollback.</w:t>
      </w:r>
    </w:p>
    <w:p>
      <w:pPr>
        <w:pStyle w:val="ListParagraph"/>
        <w:numPr>
          <w:ilvl w:val="0"/>
          <w:numId w:val="3"/>
        </w:numPr>
        <w:spacing w:after="60"/>
      </w:pPr>
      <w:r>
        <w:rPr>
          <w:b/>
          <w:bCs/>
        </w:rPr>
        <w:t xml:space="preserve">CloudHub 2.0:</w:t>
      </w:r>
      <w:r>
        <w:t xml:space="preserve"> rolling update with replicas ≥ 2 during deploys; verify zero-downtime with a load test.</w:t>
      </w:r>
    </w:p>
    <w:p>
      <w:pPr>
        <w:pStyle w:val="ListParagraph"/>
        <w:numPr>
          <w:ilvl w:val="0"/>
          <w:numId w:val="3"/>
        </w:numPr>
        <w:spacing w:after="60"/>
      </w:pPr>
      <w:r>
        <w:rPr>
          <w:b/>
          <w:bCs/>
        </w:rPr>
        <w:t xml:space="preserve">Salesforce:</w:t>
      </w:r>
      <w:r>
        <w:t xml:space="preserve"> validation deploy (</w:t>
      </w:r>
      <w:r>
        <w:rPr>
          <w:rFonts w:ascii="Consolas" w:cs="Consolas" w:eastAsia="Consolas" w:hAnsi="Consolas"/>
          <w:sz w:val="19"/>
          <w:szCs w:val="19"/>
          <w:shd w:fill="EEF0F3" w:color="auto" w:val="clear"/>
        </w:rPr>
        <w:t xml:space="preserve">sf project deploy validate</w:t>
      </w:r>
      <w:r>
        <w:t xml:space="preserve">) then quick deploy; feature toggles via custom metadata.</w:t>
      </w:r>
    </w:p>
    <w:p>
      <w:pPr>
        <w:pStyle w:val="ListParagraph"/>
        <w:numPr>
          <w:ilvl w:val="0"/>
          <w:numId w:val="3"/>
        </w:numPr>
        <w:spacing w:after="60"/>
      </w:pPr>
      <w:r>
        <w:rPr>
          <w:b/>
          <w:bCs/>
        </w:rPr>
        <w:t xml:space="preserve">Agents:</w:t>
      </w:r>
      <w:r>
        <w:t xml:space="preserve"> shadow mode → canary cohort → full; prompt/model/tool-schema versions pinned and evaluated (Project 07).</w:t>
      </w:r>
    </w:p>
    <w:p>
      <w:pPr>
        <w:pStyle w:val="Heading2"/>
      </w:pPr>
      <w:r>
        <w:t xml:space="preserve">D6 — Salesforce DevOps</w:t>
      </w:r>
    </w:p>
    <w:p>
      <w:pPr>
        <w:spacing w:after="120"/>
      </w:pPr>
      <w:r>
        <w:t xml:space="preserve">Scratch org per pull request from Dev Hub, source tracking, </w:t>
      </w:r>
      <w:r>
        <w:rPr>
          <w:b/>
          <w:bCs/>
        </w:rPr>
        <w:t xml:space="preserve">unlocked package</w:t>
      </w:r>
      <w:r>
        <w:t xml:space="preserve"> for the Apex data model and automation, package version promotion; DevOps Center concept for admin-friendly pipelines. Map this to Module 08 C5 (release management).</w:t>
      </w:r>
    </w:p>
    <w:p>
      <w:pPr>
        <w:pStyle w:val="Heading2"/>
      </w:pPr>
      <w:r>
        <w:t xml:space="preserve">D7 — Environment and configuration management</w:t>
      </w:r>
    </w:p>
    <w:p>
      <w:pPr>
        <w:spacing w:after="120"/>
      </w:pPr>
      <w:r>
        <w:t xml:space="preserve">Environment matrix (dev, test, prod-like) per platform; configuration by environment (Terraform workspaces/vars, Mule </w:t>
      </w:r>
      <w:r>
        <w:rPr>
          <w:rFonts w:ascii="Consolas" w:cs="Consolas" w:eastAsia="Consolas" w:hAnsi="Consolas"/>
          <w:sz w:val="19"/>
          <w:szCs w:val="19"/>
          <w:shd w:fill="EEF0F3" w:color="auto" w:val="clear"/>
        </w:rPr>
        <w:t xml:space="preserve">config-&lt;env&gt;.yaml</w:t>
      </w:r>
      <w:r>
        <w:t xml:space="preserve">, Salesforce custom metadata, Okta per-environment authorization servers); secrets per environment (Secrets Manager, Anypoint protected properties, GitHub environments with required reviewers).</w:t>
      </w:r>
    </w:p>
    <w:p>
      <w:pPr>
        <w:pStyle w:val="Heading2"/>
      </w:pPr>
      <w:r>
        <w:t xml:space="preserve">D8 — DORA metrics</w:t>
      </w:r>
    </w:p>
    <w:p>
      <w:pPr>
        <w:spacing w:after="120"/>
      </w:pPr>
      <w:r>
        <w:t xml:space="preserve">Compute </w:t>
      </w:r>
      <w:r>
        <w:rPr>
          <w:b/>
          <w:bCs/>
        </w:rPr>
        <w:t xml:space="preserve">deployment frequency, lead time for changes, change failure rate, time to restore</w:t>
      </w:r>
      <w:r>
        <w:t xml:space="preserve"> from the GitHub API (workflow runs, PR merge times, rollback-labelled incidents) into a small dashboard. Include it in the portfolio README.</w:t>
      </w:r>
    </w:p>
    <w:p>
      <w:pPr>
        <w:pBdr>
          <w:bottom w:val="single" w:color="BFBFBF" w:sz="6" w:space="1"/>
        </w:pBdr>
        <w:spacing w:after="120" w:before="120"/>
      </w:pPr>
    </w:p>
    <w:p>
      <w:pPr>
        <w:pStyle w:val="Heading1"/>
      </w:pPr>
      <w:bookmarkStart w:name="s6" w:id="6"/>
      <w:r>
        <w:t xml:space="preserve">6. Salesforce agents beyond the employee agent</w:t>
      </w:r>
      <w:bookmarkEnd w:id="6"/>
    </w:p>
    <w:p>
      <w:pPr>
        <w:pStyle w:val="Heading2"/>
      </w:pPr>
      <w:r>
        <w:t xml:space="preserve">S1 — Agentforce Service Agent on an Experience Cloud borrower portal</w:t>
      </w:r>
    </w:p>
    <w:p>
      <w:pPr>
        <w:spacing w:after="120"/>
      </w:pPr>
      <w:r>
        <w:rPr>
          <w:b/>
          <w:bCs/>
        </w:rPr>
        <w:t xml:space="preserve">Build:</w:t>
      </w:r>
      <w:r>
        <w:t xml:space="preserve"> Experience Cloud </w:t>
      </w:r>
      <w:r>
        <w:rPr>
          <w:b/>
          <w:bCs/>
        </w:rPr>
        <w:t xml:space="preserve">LWR site</w:t>
      </w:r>
      <w:r>
        <w:t xml:space="preserve"> "Apex Borrower Portal" (authenticated borrowers via Customer Community licence ⚠ availability in Developer Edition). Service agent topics: </w:t>
      </w:r>
      <w:r>
        <w:rPr>
          <w:i/>
          <w:iCs/>
        </w:rPr>
        <w:t xml:space="preserve">Statement Request</w:t>
      </w:r>
      <w:r>
        <w:t xml:space="preserve"> (creates a Case), </w:t>
      </w:r>
      <w:r>
        <w:rPr>
          <w:i/>
          <w:iCs/>
        </w:rPr>
        <w:t xml:space="preserve">Start Address Change</w:t>
      </w:r>
      <w:r>
        <w:t xml:space="preserve"> (screen flow from Module 08 F2, evidence upload, creates Approval_Request__c), </w:t>
      </w:r>
      <w:r>
        <w:rPr>
          <w:i/>
          <w:iCs/>
        </w:rPr>
        <w:t xml:space="preserve">FAQ</w:t>
      </w:r>
      <w:r>
        <w:t xml:space="preserve"> (Knowledge from Module 08 V4: prepayment privileges, payment dates, renewal timing). Module 16 CH1–CH4 rebuilds this agent the current way: Messaging for In-App and Web, Agentforce Builder subagents (the new name for topics), deterministic gates and verified-identity actions.
</w:t>
      </w:r>
      <w:r>
        <w:rPr>
          <w:b/>
          <w:bCs/>
        </w:rPr>
        <w:t xml:space="preserve">Security design:</w:t>
      </w:r>
      <w:r>
        <w:t xml:space="preserve"> service agents run actions as their own agent user, not as the borrower, so every account-specific action must scope data to the verified customer — never to an ID the model supplies (Module 15 §9); no borrower data for unauthenticated guests; verify identity before any account-specific answer; escalation to a human via </w:t>
      </w:r>
      <w:r>
        <w:rPr>
          <w:b/>
          <w:bCs/>
        </w:rPr>
        <w:t xml:space="preserve">Omni-Channel</w:t>
      </w:r>
      <w:r>
        <w:t xml:space="preserve"> with conversation transcript.</w:t>
      </w:r>
    </w:p>
    <w:p>
      <w:pPr>
        <w:pStyle w:val="Heading2"/>
      </w:pPr>
      <w:r>
        <w:t xml:space="preserve">S2 — Human handoff and channel design</w:t>
      </w:r>
    </w:p>
    <w:p>
      <w:pPr>
        <w:spacing w:after="120"/>
      </w:pPr>
      <w:r>
        <w:t xml:space="preserve">Configure escalation rules (low confidence, explicit request, complaint keywords, signs of financial hardship) → Omni-Channel queues </w:t>
      </w:r>
      <w:r>
        <w:rPr>
          <w:rFonts w:ascii="Consolas" w:cs="Consolas" w:eastAsia="Consolas" w:hAnsi="Consolas"/>
          <w:sz w:val="19"/>
          <w:szCs w:val="19"/>
          <w:shd w:fill="EEF0F3" w:color="auto" w:val="clear"/>
        </w:rPr>
        <w:t xml:space="preserve">Servicing-VAN</w:t>
      </w:r>
      <w:r>
        <w:t xml:space="preserve"> and </w:t>
      </w:r>
      <w:r>
        <w:rPr>
          <w:rFonts w:ascii="Consolas" w:cs="Consolas" w:eastAsia="Consolas" w:hAnsi="Consolas"/>
          <w:sz w:val="19"/>
          <w:szCs w:val="19"/>
          <w:shd w:fill="EEF0F3" w:color="auto" w:val="clear"/>
        </w:rPr>
        <w:t xml:space="preserve">Hardship_Team</w:t>
      </w:r>
      <w:r>
        <w:t xml:space="preserve">; measure handoff rate in tests.</w:t>
      </w:r>
    </w:p>
    <w:p>
      <w:pPr>
        <w:pStyle w:val="Heading2"/>
      </w:pPr>
      <w:r>
        <w:t xml:space="preserve">S3 — Agent testing at scale</w:t>
      </w:r>
    </w:p>
    <w:p>
      <w:pPr>
        <w:spacing w:after="120"/>
      </w:pPr>
      <w:r>
        <w:t xml:space="preserve">Batch tests for the service agent (50 utterances including adversarial: "show me another borrower's balance", "ignore your instructions", "can you skip my payment this month?") with the expected topic (subagent) and action; record results alongside Project 07 evals. Module 16 CH9 extends this into release gates.</w:t>
      </w:r>
    </w:p>
    <w:p>
      <w:pPr>
        <w:pStyle w:val="Heading2"/>
      </w:pPr>
      <w:r>
        <w:t xml:space="preserve">S4 — Optional certification</w:t>
      </w:r>
    </w:p>
    <w:p>
      <w:pPr>
        <w:spacing w:after="120"/>
      </w:pPr>
      <w:r>
        <w:t xml:space="preserve">The Salesforce agent topics here and in Project 07 map well to the </w:t>
      </w:r>
      <w:r>
        <w:rPr>
          <w:b/>
          <w:bCs/>
        </w:rPr>
        <w:t xml:space="preserve">Agentforce Specialist</w:t>
      </w:r>
      <w:r>
        <w:t xml:space="preserve"> certification if you want a fourth credential later ⚠ check the current exam guide.</w:t>
      </w:r>
    </w:p>
    <w:p>
      <w:pPr>
        <w:pBdr>
          <w:bottom w:val="single" w:color="BFBFBF" w:sz="6" w:space="1"/>
        </w:pBdr>
        <w:spacing w:after="120" w:before="120"/>
      </w:pPr>
    </w:p>
    <w:p>
      <w:pPr>
        <w:pStyle w:val="Heading1"/>
      </w:pPr>
      <w:bookmarkStart w:name="s7" w:id="7"/>
      <w:r>
        <w:t xml:space="preserve">7. AWS ML and agent services</w:t>
      </w:r>
      <w:bookmarkEnd w:id="7"/>
    </w:p>
    <w:p>
      <w:pPr>
        <w:pStyle w:val="Heading2"/>
      </w:pPr>
      <w:r>
        <w:t xml:space="preserve">M1 — SageMaker AI renewal-attrition model (feeds Data 360)</w:t>
      </w:r>
    </w:p>
    <w:p>
      <w:pPr>
        <w:spacing w:after="120"/>
      </w:pPr>
      <w:r>
        <w:rPr>
          <w:b/>
          <w:bCs/>
        </w:rPr>
        <w:t xml:space="preserve">Use case:</w:t>
      </w:r>
      <w:r>
        <w:t xml:space="preserve"> predict "borrower likely to switch to another lender at renewal" for loans maturing within 180 days, from features such as the gap between the borrower's rate and today's offers, payout-statement requests, switch-related portal visits, payment behaviour, broker origination and tenure. Switching got easier once straight switches stopped needing the stress test (primer §4), which is exactly why retention matters.
</w:t>
      </w:r>
      <w:r>
        <w:rPr>
          <w:b/>
          <w:bCs/>
        </w:rPr>
        <w:t xml:space="preserve">Build:</w:t>
      </w:r>
      <w:r>
        <w:t xml:space="preserve"> feature extraction with Athena (Module 10 H6) → training data in S3 → </w:t>
      </w:r>
      <w:r>
        <w:rPr>
          <w:b/>
          <w:bCs/>
        </w:rPr>
        <w:t xml:space="preserve">SageMaker AI</w:t>
      </w:r>
      <w:r>
        <w:t xml:space="preserve"> training job with the built-in XGBoost algorithm (small instance, a few minutes) → </w:t>
      </w:r>
      <w:r>
        <w:rPr>
          <w:b/>
          <w:bCs/>
        </w:rPr>
        <w:t xml:space="preserve">batch transform</w:t>
      </w:r>
      <w:r>
        <w:t xml:space="preserve"> to score maturing loans into </w:t>
      </w:r>
      <w:r>
        <w:rPr>
          <w:rFonts w:ascii="Consolas" w:cs="Consolas" w:eastAsia="Consolas" w:hAnsi="Consolas"/>
          <w:sz w:val="19"/>
          <w:szCs w:val="19"/>
          <w:shd w:fill="EEF0F3" w:color="auto" w:val="clear"/>
        </w:rPr>
        <w:t xml:space="preserve">s3://apex-curated/scores/</w:t>
      </w:r>
      <w:r>
        <w:t xml:space="preserve"> (avoid a 24/7 endpoint; if you test real-time, use </w:t>
      </w:r>
      <w:r>
        <w:rPr>
          <w:b/>
          <w:bCs/>
        </w:rPr>
        <w:t xml:space="preserve">serverless inference</w:t>
      </w:r>
      <w:r>
        <w:t xml:space="preserve"> and delete it the same day). Register in the model registry; capture metrics (AUC) and a fairness check across provinces and languages. The score drives </w:t>
      </w:r>
      <w:r>
        <w:rPr>
          <w:i/>
          <w:iCs/>
        </w:rPr>
        <w:t xml:space="preserve">who gets a call first</w:t>
      </w:r>
      <w:r>
        <w:t xml:space="preserve">, never the rate offered.
</w:t>
      </w:r>
      <w:r>
        <w:rPr>
          <w:b/>
          <w:bCs/>
        </w:rPr>
        <w:t xml:space="preserve">Cost:</w:t>
      </w:r>
      <w:r>
        <w:t xml:space="preserve"> training and batch transform are billed per instance-second — estimate first; delete notebooks/endpoints after.</w:t>
      </w:r>
    </w:p>
    <w:p>
      <w:pPr>
        <w:pStyle w:val="Heading2"/>
      </w:pPr>
      <w:r>
        <w:t xml:space="preserve">M2 — Scores into Data 360</w:t>
      </w:r>
    </w:p>
    <w:p>
      <w:pPr>
        <w:spacing w:after="120"/>
      </w:pPr>
      <w:r>
        <w:t xml:space="preserve">Ingest the scores file via the S3 connector as a profile attribute on Unified Individual, use it in a segment ("high attrition risk, maturing within 180 days") and a data action to the specialist. Alternatively use Data 360's bring-your-own-model integration with SageMaker ⚠ availability. Document model risk management (owner, validation, monitoring, retraining trigger) — this answers FSI Lens questions in Module 11.</w:t>
      </w:r>
    </w:p>
    <w:p>
      <w:pPr>
        <w:pStyle w:val="Heading2"/>
      </w:pPr>
      <w:r>
        <w:t xml:space="preserve">M3 — Bedrock Agents vs AgentCore vs open-source SDKs</w:t>
      </w:r>
    </w:p>
    <w:p>
      <w:pPr>
        <w:spacing w:after="120"/>
      </w:pPr>
      <w:r>
        <w:t xml:space="preserve">Build the same small "borrower summary" agent three ways and compare: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32"/>
        <w:gridCol w:w="2417"/>
        <w:gridCol w:w="2665"/>
        <w:gridCol w:w="2466"/>
      </w:tblGrid>
      <w:tr>
        <w:trPr>
          <w:cantSplit/>
          <w:tblHeader/>
        </w:trPr>
        <w:tc>
          <w:tcPr>
            <w:tcW w:type="dxa" w:w="253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Option</w:t>
            </w:r>
          </w:p>
        </w:tc>
        <w:tc>
          <w:tcPr>
            <w:tcW w:type="dxa" w:w="24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What you build</w:t>
            </w:r>
          </w:p>
        </w:tc>
        <w:tc>
          <w:tcPr>
            <w:tcW w:type="dxa" w:w="26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Strengths</w:t>
            </w:r>
          </w:p>
        </w:tc>
        <w:tc>
          <w:tcPr>
            <w:tcW w:type="dxa" w:w="246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Limits</w:t>
            </w:r>
          </w:p>
        </w:tc>
      </w:tr>
      <w:tr>
        <w:trPr>
          <w:cantSplit/>
        </w:trPr>
        <w:tc>
          <w:tcPr>
            <w:tcW w:type="dxa" w:w="25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Bedrock Agents</w:t>
            </w:r>
          </w:p>
        </w:tc>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 + action group (Lambda with OpenAPI schema) + Knowledge Base</w:t>
            </w:r>
          </w:p>
        </w:tc>
        <w:tc>
          <w:tcPr>
            <w:tcW w:type="dxa" w:w="26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Fastest managed setup, built-in orchestration</w:t>
            </w:r>
          </w:p>
        </w:tc>
        <w:tc>
          <w:tcPr>
            <w:tcW w:type="dxa" w:w="24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Less control over the loop, state, and custom policies</w:t>
            </w:r>
          </w:p>
        </w:tc>
      </w:tr>
      <w:tr>
        <w:trPr>
          <w:cantSplit/>
        </w:trPr>
        <w:tc>
          <w:tcPr>
            <w:tcW w:type="dxa" w:w="25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AgentCore managed harness</w:t>
            </w:r>
          </w:p>
        </w:tc>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Model, prompt, tools and memory declared in config; AgentCore runs the loop</w:t>
            </w:r>
          </w:p>
        </w:tc>
        <w:tc>
          <w:tcPr>
            <w:tcW w:type="dxa" w:w="26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orchestration code; same runtime, identity and observability as code agents</w:t>
            </w:r>
          </w:p>
        </w:tc>
        <w:tc>
          <w:tcPr>
            <w:tcW w:type="dxa" w:w="24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Less control than a code agent; check which policy and approval hooks it exposes</w:t>
            </w:r>
          </w:p>
        </w:tc>
      </w:tr>
      <w:tr>
        <w:trPr>
          <w:cantSplit/>
        </w:trPr>
        <w:tc>
          <w:tcPr>
            <w:tcW w:type="dxa" w:w="25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AgentCore + LangGraph</w:t>
            </w:r>
            <w:r>
              <w:rPr>
                <w:b w:val="false"/>
                <w:bCs w:val="false"/>
                <w:sz w:val="17"/>
                <w:szCs w:val="17"/>
              </w:rPr>
              <w:t xml:space="preserve"> (Project 07)</w:t>
            </w:r>
          </w:p>
        </w:tc>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Your graph, your harness, managed runtime/identity/memory</w:t>
            </w:r>
          </w:p>
        </w:tc>
        <w:tc>
          <w:tcPr>
            <w:tcW w:type="dxa" w:w="26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Full control, framework choice, enterprise identity</w:t>
            </w:r>
          </w:p>
        </w:tc>
        <w:tc>
          <w:tcPr>
            <w:tcW w:type="dxa" w:w="24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More engineering</w:t>
            </w:r>
          </w:p>
        </w:tc>
      </w:tr>
      <w:tr>
        <w:trPr>
          <w:cantSplit/>
        </w:trPr>
        <w:tc>
          <w:tcPr>
            <w:tcW w:type="dxa" w:w="25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Open-source agent SDK on AgentCore</w:t>
            </w:r>
            <w:r>
              <w:rPr>
                <w:b w:val="false"/>
                <w:bCs w:val="false"/>
                <w:sz w:val="17"/>
                <w:szCs w:val="17"/>
              </w:rPr>
              <w:t xml:space="preserve"> (e.g., AWS's Strands Agents ⚠ or OpenAI/Claude agent SDKs)</w:t>
            </w:r>
          </w:p>
        </w:tc>
        <w:tc>
          <w:tcPr>
            <w:tcW w:type="dxa" w:w="2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Minimal agent with the same MCP tools</w:t>
            </w:r>
          </w:p>
        </w:tc>
        <w:tc>
          <w:tcPr>
            <w:tcW w:type="dxa" w:w="26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Simple code, portable</w:t>
            </w:r>
          </w:p>
        </w:tc>
        <w:tc>
          <w:tcPr>
            <w:tcW w:type="dxa" w:w="24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Fewer built-in governance features</w:t>
            </w:r>
          </w:p>
        </w:tc>
      </w:tr>
    </w:tbl>
    <w:p>
      <w:pPr>
        <w:spacing w:after="120"/>
      </w:pPr>
    </w:p>
    <w:p>
      <w:pPr>
        <w:spacing w:after="120"/>
      </w:pPr>
      <w:r>
        <w:t xml:space="preserve">Write </w:t>
      </w:r>
      <w:r>
        <w:rPr>
          <w:b/>
          <w:bCs/>
        </w:rPr>
        <w:t xml:space="preserve">ADR-027: agent platform selection criteria</w:t>
      </w:r>
      <w:r>
        <w:t xml:space="preserve"> using the framework-selection checklist from your architecture standards (control-flow complexity, durability, identity, evaluation, deployment, team skills, TCO, portability).</w:t>
      </w:r>
    </w:p>
    <w:p>
      <w:pPr>
        <w:pStyle w:val="Heading2"/>
      </w:pPr>
      <w:r>
        <w:t xml:space="preserve">M4 — AI service positioning (SAA-level)</w:t>
      </w:r>
    </w:p>
    <w:p>
      <w:pPr>
        <w:spacing w:after="120"/>
      </w:pPr>
      <w:r>
        <w:t xml:space="preserve">One-line use case each, mapped to Apex: Textract (T4 slips, notices of assessment, pay stubs), Comprehend (complaint sentiment / PII detection), Transcribe (servicing call recordings), Translate (French-language borrowers), Polly, Lex (legacy bots), Kendra (enterprise search), Rekognition (photo-ID matching for identity verification — note the privacy implications and that FINTRAC prescribes which verification methods count), Bedrock (generative), SageMaker (custom ML).</w:t>
      </w:r>
    </w:p>
    <w:p>
      <w:pPr>
        <w:pBdr>
          <w:bottom w:val="single" w:color="BFBFBF" w:sz="6" w:space="1"/>
        </w:pBdr>
        <w:spacing w:after="120" w:before="120"/>
      </w:pPr>
    </w:p>
    <w:p>
      <w:pPr>
        <w:pStyle w:val="Heading1"/>
      </w:pPr>
      <w:bookmarkStart w:name="s8" w:id="8"/>
      <w:r>
        <w:t xml:space="preserve">8. Intelligent document processing (IDP)</w:t>
      </w:r>
      <w:bookmarkEnd w:id="8"/>
    </w:p>
    <w:p>
      <w:pPr>
        <w:pStyle w:val="Heading2"/>
      </w:pPr>
      <w:r>
        <w:t xml:space="preserve">I1 — MuleSoft IDP design</w:t>
      </w:r>
    </w:p>
    <w:p>
      <w:pPr>
        <w:spacing w:after="120"/>
      </w:pPr>
      <w:r>
        <w:rPr>
          <w:b/>
          <w:bCs/>
        </w:rPr>
        <w:t xml:space="preserve">Use case:</w:t>
      </w:r>
      <w:r>
        <w:t xml:space="preserve"> borrowers (or their brokers) upload income and down-payment documents — T4 slips, notices of assessment, pay stubs, employment letters, 90 days of bank statements; extract employer, income, tax year and balances; compare with the stated </w:t>
      </w:r>
      <w:r>
        <w:rPr>
          <w:rFonts w:ascii="Consolas" w:cs="Consolas" w:eastAsia="Consolas" w:hAnsi="Consolas"/>
          <w:sz w:val="19"/>
          <w:szCs w:val="19"/>
          <w:shd w:fill="EEF0F3" w:color="auto" w:val="clear"/>
        </w:rPr>
        <w:t xml:space="preserve">Applicant_Income__c</w:t>
      </w:r>
      <w:r>
        <w:t xml:space="preserve">; route low-confidence results or mismatches to an underwriter; attach the result to the matching </w:t>
      </w:r>
      <w:r>
        <w:rPr>
          <w:rFonts w:ascii="Consolas" w:cs="Consolas" w:eastAsia="Consolas" w:hAnsi="Consolas"/>
          <w:sz w:val="19"/>
          <w:szCs w:val="19"/>
          <w:shd w:fill="EEF0F3" w:color="auto" w:val="clear"/>
        </w:rPr>
        <w:t xml:space="preserve">Condition__c</w:t>
      </w:r>
      <w:r>
        <w:t xml:space="preserve"> as </w:t>
      </w:r>
      <w:r>
        <w:rPr>
          <w:i/>
          <w:iCs/>
        </w:rPr>
        <w:t xml:space="preserve">Received</w:t>
      </w:r>
      <w:r>
        <w:t xml:space="preserve">. Only an underwriter marks it </w:t>
      </w:r>
      <w:r>
        <w:rPr>
          <w:i/>
          <w:iCs/>
        </w:rPr>
        <w:t xml:space="preserve">Satisfied</w:t>
      </w:r>
      <w:r>
        <w:t xml:space="preserve"> — extraction is evidence, not a decision, and a mismatch can be a fraud signal that a person must review.
</w:t>
      </w:r>
      <w:r>
        <w:rPr>
          <w:b/>
          <w:bCs/>
        </w:rPr>
        <w:t xml:space="preserve">Design:</w:t>
      </w:r>
      <w:r>
        <w:t xml:space="preserve"> MuleSoft IDP document action (or "MuleSoft for Flow: IDP" inside Salesforce) → extracted fields + confidence → Mule process API compares with the stated income → if confidence &lt; threshold or the difference exceeds 5%, create an underwriter review task → evidence linked to the condition. Agentforce can call the document action as an agent action. Record in </w:t>
      </w:r>
      <w:r>
        <w:rPr>
          <w:b/>
          <w:bCs/>
        </w:rPr>
        <w:t xml:space="preserve">ADR-028</w:t>
      </w:r>
      <w:r>
        <w:t xml:space="preserve"> whether IDP runs in Salesforce (Flow) or across systems (MuleSoft IDP), and data residency of document processing. IDP is sold via demo/quote, so build I2 if you lack access.</w:t>
      </w:r>
    </w:p>
    <w:p>
      <w:pPr>
        <w:pStyle w:val="Heading2"/>
      </w:pPr>
      <w:r>
        <w:t xml:space="preserve">I2 — Alternative hands-on: Textract or Bedrock extraction</w:t>
      </w:r>
    </w:p>
    <w:p>
      <w:pPr>
        <w:spacing w:after="120"/>
      </w:pPr>
      <w:r>
        <w:t xml:space="preserve">Lambda triggered by an S3 upload (X4 event notification) → </w:t>
      </w:r>
      <w:r>
        <w:rPr>
          <w:b/>
          <w:bCs/>
        </w:rPr>
        <w:t xml:space="preserve">Textract AnalyzeDocument</w:t>
      </w:r>
      <w:r>
        <w:t xml:space="preserve"> (FORMS + QUERIES: "What is the employment income in box 14?", "What is the total income on line 15000?") or a Bedrock multimodal model with a JSON schema → confidence threshold → if low, push to a human-review queue (SQS + a simple review page, or Amazon A2I concept) → POST the result to the process API that updates the </w:t>
      </w:r>
      <w:r>
        <w:rPr>
          <w:rFonts w:ascii="Consolas" w:cs="Consolas" w:eastAsia="Consolas" w:hAnsi="Consolas"/>
          <w:sz w:val="19"/>
          <w:szCs w:val="19"/>
          <w:shd w:fill="EEF0F3" w:color="auto" w:val="clear"/>
        </w:rPr>
        <w:t xml:space="preserve">Condition__c</w:t>
      </w:r>
      <w:r>
        <w:t xml:space="preserve"> (status </w:t>
      </w:r>
      <w:r>
        <w:rPr>
          <w:i/>
          <w:iCs/>
        </w:rPr>
        <w:t xml:space="preserve">Received</w:t>
      </w:r>
      <w:r>
        <w:t xml:space="preserve">, extraction attached). Same architecture as I1, different engine — compare accuracy on 10 synthetic documents you create yourself (never real tax slips).</w:t>
      </w:r>
    </w:p>
    <w:p>
      <w:pPr>
        <w:pBdr>
          <w:bottom w:val="single" w:color="BFBFBF" w:sz="6" w:space="1"/>
        </w:pBdr>
        <w:spacing w:after="120" w:before="120"/>
      </w:pPr>
    </w:p>
    <w:p>
      <w:pPr>
        <w:pStyle w:val="Heading1"/>
      </w:pPr>
      <w:bookmarkStart w:name="s9" w:id="9"/>
      <w:r>
        <w:t xml:space="preserve">9. A2A orchestration (earned, not assumed)</w:t>
      </w:r>
      <w:bookmarkEnd w:id="9"/>
    </w:p>
    <w:p>
      <w:pPr>
        <w:pStyle w:val="Heading2"/>
      </w:pPr>
      <w:r>
        <w:t xml:space="preserve">A1 — Justify the second agent</w:t>
      </w:r>
    </w:p>
    <w:p>
      <w:pPr>
        <w:spacing w:after="120"/>
      </w:pPr>
      <w:r>
        <w:t xml:space="preserve">Introduce a </w:t>
      </w:r>
      <w:r>
        <w:rPr>
          <w:b/>
          <w:bCs/>
        </w:rPr>
        <w:t xml:space="preserve">Credit Policy Agent</w:t>
      </w:r>
      <w:r>
        <w:t xml:space="preserve"> owned by the </w:t>
      </w:r>
      <w:r>
        <w:rPr>
          <w:b/>
          <w:bCs/>
        </w:rPr>
        <w:t xml:space="preserve">Credit Risk team</w:t>
      </w:r>
      <w:r>
        <w:t xml:space="preserve">: separate code repository, deployment, identity, release approval, and audit. It answers "is this application consistent with Apex's credit policy — insurer eligibility, B-20 expectations, exception criteria — and why?" with citations, for an underwriter to weigh. It never decides. That's an independent boundary — the criterion that makes A2A appropriate. Write </w:t>
      </w:r>
      <w:r>
        <w:rPr>
          <w:b/>
          <w:bCs/>
        </w:rPr>
        <w:t xml:space="preserve">ADR-029</w:t>
      </w:r>
      <w:r>
        <w:t xml:space="preserve"> stating why a tool or an MCP server would </w:t>
      </w:r>
      <w:r>
        <w:rPr>
          <w:i/>
          <w:iCs/>
        </w:rPr>
        <w:t xml:space="preserve">not</w:t>
      </w:r>
      <w:r>
        <w:t xml:space="preserve"> be enough here (Credit Risk owns the reasoning and its evaluation, not just the data — the deterministic qualification service stays a tool). Also state the exit criterion: if delegation doesn't measurably improve policy accuracy in A5, remove it.</w:t>
      </w:r>
    </w:p>
    <w:p>
      <w:pPr>
        <w:pStyle w:val="Heading2"/>
      </w:pPr>
      <w:r>
        <w:t xml:space="preserve">A2 — Build the A2A server</w:t>
      </w:r>
    </w:p>
    <w:p>
      <w:pPr>
        <w:spacing w:after="120"/>
      </w:pPr>
      <w:r>
        <w:t xml:space="preserve">Implement the Credit Policy agent against </w:t>
      </w:r>
      <w:r>
        <w:rPr>
          <w:b/>
          <w:bCs/>
        </w:rPr>
        <w:t xml:space="preserve">A2A v1.0</w:t>
      </w:r>
      <w:r>
        <w:t xml:space="preserve"> (frozen March 12, 2026; governed by the Agentic AI Foundation alongside MCP since August 2026) with the Python </w:t>
      </w:r>
      <w:r>
        <w:rPr>
          <w:rFonts w:ascii="Consolas" w:cs="Consolas" w:eastAsia="Consolas" w:hAnsi="Consolas"/>
          <w:sz w:val="19"/>
          <w:szCs w:val="19"/>
          <w:shd w:fill="EEF0F3" w:color="auto" w:val="clear"/>
        </w:rPr>
        <w:t xml:space="preserve">a2a-sdk</w:t>
      </w:r>
      <w:r>
        <w:t xml:space="preserve"> ⚠ pin a 1.x release. Host it on </w:t>
      </w:r>
      <w:r>
        <w:rPr>
          <w:b/>
          <w:bCs/>
        </w:rPr>
        <w:t xml:space="preserve">AgentCore Runtime</w:t>
      </w:r>
      <w:r>
        <w:t xml:space="preserve"> — </w:t>
      </w:r>
      <w:r>
        <w:rPr>
          <w:rFonts w:ascii="Consolas" w:cs="Consolas" w:eastAsia="Consolas" w:hAnsi="Consolas"/>
          <w:sz w:val="19"/>
          <w:szCs w:val="19"/>
          <w:shd w:fill="EEF0F3" w:color="auto" w:val="clear"/>
        </w:rPr>
        <w:t xml:space="preserve">agentcore create --protocol A2A</w:t>
      </w:r>
      <w:r>
        <w:t xml:space="preserve"> creates an A2A runtime — or on ECS Fargate. Publish the </w:t>
      </w:r>
      <w:r>
        <w:rPr>
          <w:b/>
          <w:bCs/>
        </w:rPr>
        <w:t xml:space="preserve">Agent Card</w:t>
      </w:r>
      <w:r>
        <w:t xml:space="preserve"> at </w:t>
      </w:r>
      <w:r>
        <w:rPr>
          <w:rFonts w:ascii="Consolas" w:cs="Consolas" w:eastAsia="Consolas" w:hAnsi="Consolas"/>
          <w:sz w:val="19"/>
          <w:szCs w:val="19"/>
          <w:shd w:fill="EEF0F3" w:color="auto" w:val="clear"/>
        </w:rPr>
        <w:t xml:space="preserve">/.well-known/agent-card.json</w:t>
      </w:r>
      <w:r>
        <w:t xml:space="preserve"> with skills (</w:t>
      </w:r>
      <w:r>
        <w:rPr>
          <w:rFonts w:ascii="Consolas" w:cs="Consolas" w:eastAsia="Consolas" w:hAnsi="Consolas"/>
          <w:sz w:val="19"/>
          <w:szCs w:val="19"/>
          <w:shd w:fill="EEF0F3" w:color="auto" w:val="clear"/>
        </w:rPr>
        <w:t xml:space="preserve">policy_check</w:t>
      </w:r>
      <w:r>
        <w:t xml:space="preserve">, </w:t>
      </w:r>
      <w:r>
        <w:rPr>
          <w:rFonts w:ascii="Consolas" w:cs="Consolas" w:eastAsia="Consolas" w:hAnsi="Consolas"/>
          <w:sz w:val="19"/>
          <w:szCs w:val="19"/>
          <w:shd w:fill="EEF0F3" w:color="auto" w:val="clear"/>
        </w:rPr>
        <w:t xml:space="preserve">policy_lookup</w:t>
      </w:r>
      <w:r>
        <w:t xml:space="preserve">), </w:t>
      </w:r>
      <w:r>
        <w:rPr>
          <w:rFonts w:ascii="Consolas" w:cs="Consolas" w:eastAsia="Consolas" w:hAnsi="Consolas"/>
          <w:sz w:val="19"/>
          <w:szCs w:val="19"/>
          <w:shd w:fill="EEF0F3" w:color="auto" w:val="clear"/>
        </w:rPr>
        <w:t xml:space="preserve">supportedInterfaces</w:t>
      </w:r>
      <w:r>
        <w:t xml:space="preserve"> (binding, URL and protocol version — v1.0 replaced the single </w:t>
      </w:r>
      <w:r>
        <w:rPr>
          <w:rFonts w:ascii="Consolas" w:cs="Consolas" w:eastAsia="Consolas" w:hAnsi="Consolas"/>
          <w:sz w:val="19"/>
          <w:szCs w:val="19"/>
          <w:shd w:fill="EEF0F3" w:color="auto" w:val="clear"/>
        </w:rPr>
        <w:t xml:space="preserve">url</w:t>
      </w:r>
      <w:r>
        <w:t xml:space="preserve"> field), and the security scheme (OAuth 2.0 bearer; a new Okta authorization server </w:t>
      </w:r>
      <w:r>
        <w:rPr>
          <w:rFonts w:ascii="Consolas" w:cs="Consolas" w:eastAsia="Consolas" w:hAnsi="Consolas"/>
          <w:sz w:val="19"/>
          <w:szCs w:val="19"/>
          <w:shd w:fill="EEF0F3" w:color="auto" w:val="clear"/>
        </w:rPr>
        <w:t xml:space="preserve">apex-credit-policy</w:t>
      </w:r>
      <w:r>
        <w:t xml:space="preserve">, audience </w:t>
      </w:r>
      <w:r>
        <w:rPr>
          <w:rFonts w:ascii="Consolas" w:cs="Consolas" w:eastAsia="Consolas" w:hAnsi="Consolas"/>
          <w:sz w:val="19"/>
          <w:szCs w:val="19"/>
          <w:shd w:fill="EEF0F3" w:color="auto" w:val="clear"/>
        </w:rPr>
        <w:t xml:space="preserve">api://apex-credit-policy-agent</w:t>
      </w:r>
      <w:r>
        <w:t xml:space="preserve">, scope </w:t>
      </w:r>
      <w:r>
        <w:rPr>
          <w:rFonts w:ascii="Consolas" w:cs="Consolas" w:eastAsia="Consolas" w:hAnsi="Consolas"/>
          <w:sz w:val="19"/>
          <w:szCs w:val="19"/>
          <w:shd w:fill="EEF0F3" w:color="auto" w:val="clear"/>
        </w:rPr>
        <w:t xml:space="preserve">apex.credit.consult</w:t>
      </w:r>
      <w:r>
        <w:t xml:space="preserve">). Handle the v1.0 task states: SUBMITTED, WORKING, INPUT_REQUIRED, AUTH_REQUIRED, COMPLETED, FAILED, CANCELED, REJECTED. Tutorials written for 0.2/0.3 (methods like </w:t>
      </w:r>
      <w:r>
        <w:rPr>
          <w:rFonts w:ascii="Consolas" w:cs="Consolas" w:eastAsia="Consolas" w:hAnsi="Consolas"/>
          <w:sz w:val="19"/>
          <w:szCs w:val="19"/>
          <w:shd w:fill="EEF0F3" w:color="auto" w:val="clear"/>
        </w:rPr>
        <w:t xml:space="preserve">message/send</w:t>
      </w:r>
      <w:r>
        <w:t xml:space="preserve">, the old </w:t>
      </w:r>
      <w:r>
        <w:rPr>
          <w:rFonts w:ascii="Consolas" w:cs="Consolas" w:eastAsia="Consolas" w:hAnsi="Consolas"/>
          <w:sz w:val="19"/>
          <w:szCs w:val="19"/>
          <w:shd w:fill="EEF0F3" w:color="auto" w:val="clear"/>
        </w:rPr>
        <w:t xml:space="preserve">agent.json</w:t>
      </w:r>
      <w:r>
        <w:t xml:space="preserve"> path) are out of date.</w:t>
      </w:r>
    </w:p>
    <w:p>
      <w:pPr>
        <w:pStyle w:val="Heading2"/>
      </w:pPr>
      <w:r>
        <w:t xml:space="preserve">A3 — Clients</w:t>
      </w:r>
    </w:p>
    <w:p>
      <w:pPr>
        <w:pStyle w:val="ListParagraph"/>
        <w:numPr>
          <w:ilvl w:val="0"/>
          <w:numId w:val="4"/>
        </w:numPr>
        <w:spacing w:after="60"/>
      </w:pPr>
      <w:r>
        <w:rPr>
          <w:b/>
          <w:bCs/>
        </w:rPr>
        <w:t xml:space="preserve">Operations agent (LangGraph, used by underwriters through the ops portal):</w:t>
      </w:r>
      <w:r>
        <w:t xml:space="preserve"> discover the Agent Card, perform token exchange for the credit-policy audience (scope </w:t>
      </w:r>
      <w:r>
        <w:rPr>
          <w:rFonts w:ascii="Consolas" w:cs="Consolas" w:eastAsia="Consolas" w:hAnsi="Consolas"/>
          <w:sz w:val="19"/>
          <w:szCs w:val="19"/>
          <w:shd w:fill="EEF0F3" w:color="auto" w:val="clear"/>
        </w:rPr>
        <w:t xml:space="preserve">apex.credit.consult</w:t>
      </w:r>
      <w:r>
        <w:t xml:space="preserve"> only), send the </w:t>
      </w:r>
      <w:r>
        <w:rPr>
          <w:rFonts w:ascii="Consolas" w:cs="Consolas" w:eastAsia="Consolas" w:hAnsi="Consolas"/>
          <w:sz w:val="19"/>
          <w:szCs w:val="19"/>
          <w:shd w:fill="EEF0F3" w:color="auto" w:val="clear"/>
        </w:rPr>
        <w:t xml:space="preserve">A2A-Version: 1.0</w:t>
      </w:r>
      <w:r>
        <w:t xml:space="preserve"> header on every request (a missing header means 0.3), call </w:t>
      </w:r>
      <w:r>
        <w:rPr>
          <w:b/>
          <w:bCs/>
        </w:rPr>
        <w:t xml:space="preserve">SendMessage</w:t>
      </w:r>
      <w:r>
        <w:t xml:space="preserve"> (it blocks until a terminal or interrupted state unless </w:t>
      </w:r>
      <w:r>
        <w:rPr>
          <w:rFonts w:ascii="Consolas" w:cs="Consolas" w:eastAsia="Consolas" w:hAnsi="Consolas"/>
          <w:sz w:val="19"/>
          <w:szCs w:val="19"/>
          <w:shd w:fill="EEF0F3" w:color="auto" w:val="clear"/>
        </w:rPr>
        <w:t xml:space="preserve">returnImmediately</w:t>
      </w:r>
      <w:r>
        <w:t xml:space="preserve"> is set) with </w:t>
      </w:r>
      <w:r>
        <w:rPr>
          <w:b/>
          <w:bCs/>
        </w:rPr>
        <w:t xml:space="preserve">context IDs, not raw PII</w:t>
      </w:r>
      <w:r>
        <w:t xml:space="preserve">, poll with </w:t>
      </w:r>
      <w:r>
        <w:rPr>
          <w:b/>
          <w:bCs/>
        </w:rPr>
        <w:t xml:space="preserve">GetTask</w:t>
      </w:r>
      <w:r>
        <w:t xml:space="preserve">, enforce timeouts and use </w:t>
      </w:r>
      <w:r>
        <w:rPr>
          <w:b/>
          <w:bCs/>
        </w:rPr>
        <w:t xml:space="preserve">CancelTask</w:t>
      </w:r>
      <w:r>
        <w:t xml:space="preserve">, validate the returned artifact against a schema, treat it as untrusted data.</w:t>
      </w:r>
    </w:p>
    <w:p>
      <w:pPr>
        <w:pStyle w:val="ListParagraph"/>
        <w:numPr>
          <w:ilvl w:val="0"/>
          <w:numId w:val="4"/>
        </w:numPr>
        <w:spacing w:after="60"/>
      </w:pPr>
      <w:r>
        <w:rPr>
          <w:b/>
          <w:bCs/>
        </w:rPr>
        <w:t xml:space="preserve">Agentforce:</w:t>
      </w:r>
      <w:r>
        <w:t xml:space="preserve"> Salesforce's interoperability guide describes </w:t>
      </w:r>
      <w:r>
        <w:rPr>
          <w:b/>
          <w:bCs/>
        </w:rPr>
        <w:t xml:space="preserve">A2A Outbound</w:t>
      </w:r>
      <w:r>
        <w:t xml:space="preserve"> (an admin registers a third-party agent's skills, capabilities and transport, and an Agentforce agent delegates to it) and </w:t>
      </w:r>
      <w:r>
        <w:rPr>
          <w:b/>
          <w:bCs/>
        </w:rPr>
        <w:t xml:space="preserve">A2A Inbound</w:t>
      </w:r>
      <w:r>
        <w:t xml:space="preserve">; orchestration over A2A-compliant third-party agents was in pilot in August 2026 ⚠. Until it's in your org, onboard through MuleSoft Agent Fabric's A2A support, or build a Mule flow with the </w:t>
      </w:r>
      <w:r>
        <w:rPr>
          <w:b/>
          <w:bCs/>
        </w:rPr>
        <w:t xml:space="preserve">A2A Connector</w:t>
      </w:r>
      <w:r>
        <w:t xml:space="preserve"> acting as an A2A client that Agentforce calls as an action ⚠ check what your trial includes. Module 16 AX4 compares the routes.</w:t>
      </w:r>
    </w:p>
    <w:p>
      <w:pPr>
        <w:pStyle w:val="Heading2"/>
      </w:pPr>
      <w:r>
        <w:t xml:space="preserve">A4 — Govern it</w:t>
      </w:r>
    </w:p>
    <w:p>
      <w:pPr>
        <w:spacing w:after="120"/>
      </w:pPr>
      <w:r>
        <w:t xml:space="preserve">Route A2A traffic through the gateway with A2A-aware policies (authentication, rate limiting, payload validation) — Agent Fabric's runtime enforcement point is </w:t>
      </w:r>
      <w:r>
        <w:rPr>
          <w:b/>
          <w:bCs/>
        </w:rPr>
        <w:t xml:space="preserve">Omni Gateway</w:t>
      </w:r>
      <w:r>
        <w:t xml:space="preserve">, the same gateway you run for APIs and MCP (it was called Flex Gateway before v1.13). Register both agents in the </w:t>
      </w:r>
      <w:r>
        <w:rPr>
          <w:b/>
          <w:bCs/>
        </w:rPr>
        <w:t xml:space="preserve">Agent Registry</w:t>
      </w:r>
      <w:r>
        <w:t xml:space="preserve">; use </w:t>
      </w:r>
      <w:r>
        <w:rPr>
          <w:b/>
          <w:bCs/>
        </w:rPr>
        <w:t xml:space="preserve">Agent Visualizer</w:t>
      </w:r>
      <w:r>
        <w:t xml:space="preserve"> to show the delegation graph; propagate </w:t>
      </w:r>
      <w:r>
        <w:rPr>
          <w:rFonts w:ascii="Consolas" w:cs="Consolas" w:eastAsia="Consolas" w:hAnsi="Consolas"/>
          <w:sz w:val="19"/>
          <w:szCs w:val="19"/>
          <w:shd w:fill="EEF0F3" w:color="auto" w:val="clear"/>
        </w:rPr>
        <w:t xml:space="preserve">traceparent</w:t>
      </w:r>
      <w:r>
        <w:t xml:space="preserve"> across the A2A hop; log delegation decisions with both principals (user </w:t>
      </w:r>
      <w:r>
        <w:rPr>
          <w:rFonts w:ascii="Consolas" w:cs="Consolas" w:eastAsia="Consolas" w:hAnsi="Consolas"/>
          <w:sz w:val="19"/>
          <w:szCs w:val="19"/>
          <w:shd w:fill="EEF0F3" w:color="auto" w:val="clear"/>
        </w:rPr>
        <w:t xml:space="preserve">sub</w:t>
      </w:r>
      <w:r>
        <w:t xml:space="preserve"> and acting agent).</w:t>
      </w:r>
    </w:p>
    <w:p>
      <w:pPr>
        <w:pStyle w:val="Heading2"/>
      </w:pPr>
      <w:r>
        <w:t xml:space="preserve">A5 — Evaluate the delegation</w:t>
      </w:r>
    </w:p>
    <w:p>
      <w:pPr>
        <w:spacing w:after="120"/>
      </w:pPr>
      <w:r>
        <w:t xml:space="preserve">Extend the Project 07 eval suite with 20 credit-policy scenarios (gifted down payments, self-employed income, rental income, a borrower near the insured price cap, a switch that adds funds). Compare outcomes with and without delegation (accuracy against Credit Risk's labelled answers, latency, cost per task). Keep A2A only if it wins on the metric the business cares about (policy accuracy) at acceptable cost; document the result either way. That's the earn-the-agent principle applied to multi-agent design.</w:t>
      </w:r>
    </w:p>
    <w:p>
      <w:pPr>
        <w:pBdr>
          <w:bottom w:val="single" w:color="BFBFBF" w:sz="6" w:space="1"/>
        </w:pBdr>
        <w:spacing w:after="120" w:before="120"/>
      </w:pPr>
    </w:p>
    <w:p>
      <w:pPr>
        <w:pStyle w:val="Heading1"/>
      </w:pPr>
      <w:bookmarkStart w:name="s10" w:id="10"/>
      <w:r>
        <w:t xml:space="preserve">10. ADRs from this module</w:t>
      </w:r>
      <w:bookmarkEnd w:id="10"/>
    </w:p>
    <w:p>
      <w:pPr>
        <w:pStyle w:val="ListParagraph"/>
        <w:numPr>
          <w:ilvl w:val="0"/>
          <w:numId w:val="5"/>
        </w:numPr>
        <w:spacing w:after="60"/>
      </w:pPr>
      <w:r>
        <w:t xml:space="preserve">ADR-025 Egress control: Squid vs Network Firewall vs NAT-only</w:t>
      </w:r>
    </w:p>
    <w:p>
      <w:pPr>
        <w:pStyle w:val="ListParagraph"/>
        <w:numPr>
          <w:ilvl w:val="0"/>
          <w:numId w:val="5"/>
        </w:numPr>
        <w:spacing w:after="60"/>
      </w:pPr>
      <w:r>
        <w:t xml:space="preserve">ADR-026 IaC: Terraform vs CloudFormation vs CDK (+ StackSets for org guardrails)</w:t>
      </w:r>
    </w:p>
    <w:p>
      <w:pPr>
        <w:pStyle w:val="ListParagraph"/>
        <w:numPr>
          <w:ilvl w:val="0"/>
          <w:numId w:val="5"/>
        </w:numPr>
        <w:spacing w:after="60"/>
      </w:pPr>
      <w:r>
        <w:t xml:space="preserve">ADR-027 Agent platform selection (Bedrock Agents vs AgentCore + framework vs agent SDKs)</w:t>
      </w:r>
    </w:p>
    <w:p>
      <w:pPr>
        <w:pStyle w:val="ListParagraph"/>
        <w:numPr>
          <w:ilvl w:val="0"/>
          <w:numId w:val="5"/>
        </w:numPr>
        <w:spacing w:after="60"/>
      </w:pPr>
      <w:r>
        <w:t xml:space="preserve">ADR-028 IDP placement and residency</w:t>
      </w:r>
    </w:p>
    <w:p>
      <w:pPr>
        <w:pStyle w:val="ListParagraph"/>
        <w:numPr>
          <w:ilvl w:val="0"/>
          <w:numId w:val="5"/>
        </w:numPr>
        <w:spacing w:after="60"/>
      </w:pPr>
      <w:r>
        <w:t xml:space="preserve">ADR-029 A2A delegation to the Credit Policy agent (with exit criteria)</w:t>
      </w:r>
    </w:p>
    <w:p>
      <w:pPr>
        <w:pStyle w:val="ListParagraph"/>
        <w:numPr>
          <w:ilvl w:val="0"/>
          <w:numId w:val="5"/>
        </w:numPr>
        <w:spacing w:after="60"/>
      </w:pPr>
      <w:r>
        <w:t xml:space="preserve">ADR-030 Release strategies per platform</w:t>
      </w:r>
    </w:p>
    <w:p>
      <w:pPr>
        <w:pStyle w:val="Heading1"/>
      </w:pPr>
      <w:bookmarkStart w:name="s11" w:id="11"/>
      <w:r>
        <w:t xml:space="preserve">11. Interview drill</w:t>
      </w:r>
      <w:bookmarkEnd w:id="11"/>
    </w:p>
    <w:p>
      <w:pPr>
        <w:pStyle w:val="ListParagraph"/>
        <w:numPr>
          <w:ilvl w:val="0"/>
          <w:numId w:val="6"/>
        </w:numPr>
        <w:spacing w:after="60"/>
      </w:pPr>
      <w:r>
        <w:t xml:space="preserve">Forward vs reverse proxy — give one Apex example of each and the security control it provides.</w:t>
      </w:r>
    </w:p>
    <w:p>
      <w:pPr>
        <w:pStyle w:val="ListParagraph"/>
        <w:numPr>
          <w:ilvl w:val="0"/>
          <w:numId w:val="6"/>
        </w:numPr>
        <w:spacing w:after="60"/>
      </w:pPr>
      <w:r>
        <w:t xml:space="preserve">When would you choose CloudFormation StackSets even though your team standardizes on Terraform?</w:t>
      </w:r>
    </w:p>
    <w:p>
      <w:pPr>
        <w:pStyle w:val="ListParagraph"/>
        <w:numPr>
          <w:ilvl w:val="0"/>
          <w:numId w:val="6"/>
        </w:numPr>
        <w:spacing w:after="60"/>
      </w:pPr>
      <w:r>
        <w:t xml:space="preserve">Why does your A2A design exchange tokens instead of forwarding the user's token?</w:t>
      </w:r>
    </w:p>
    <w:p>
      <w:pPr>
        <w:pStyle w:val="ListParagraph"/>
        <w:numPr>
          <w:ilvl w:val="0"/>
          <w:numId w:val="6"/>
        </w:numPr>
        <w:spacing w:after="60"/>
      </w:pPr>
      <w:r>
        <w:t xml:space="preserve">How do you prove a second agent is worth its cost?</w:t>
      </w:r>
    </w:p>
    <w:p>
      <w:pPr>
        <w:pStyle w:val="ListParagraph"/>
        <w:numPr>
          <w:ilvl w:val="0"/>
          <w:numId w:val="6"/>
        </w:numPr>
        <w:spacing w:after="60"/>
      </w:pPr>
      <w:r>
        <w:t xml:space="preserve">Walk me through your release strategy for a prompt change versus a schema change in an MCP tool.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Module 12</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lvl w:ilvl="1" w15:tentative="1">
      <w:start w:val="1"/>
      <w:numFmt w:val="bullet"/>
      <w:lvlText w:val="◦"/>
      <w:lvlJc w:val="left"/>
      <w:pPr>
        <w:ind w:left="1440" w:hanging="300"/>
      </w:pPr>
    </w:lvl>
    <w:lvl w:ilvl="2" w15:tentative="1">
      <w:start w:val="1"/>
      <w:numFmt w:val="bullet"/>
      <w:lvlText w:val="▪"/>
      <w:lvlJc w:val="left"/>
      <w:pPr>
        <w:ind w:left="2160" w:hanging="300"/>
      </w:pPr>
    </w:lvl>
    <w:lvl w:ilvl="3" w15:tentative="1">
      <w:start w:val="1"/>
      <w:numFmt w:val="bullet"/>
      <w:lvlText w:val="–"/>
      <w:lvlJc w:val="left"/>
      <w:pPr>
        <w:ind w:left="2880" w:hanging="30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ument Title"/>
    <w:basedOn w:val="Normal"/>
    <w:next w:val="Normal"/>
    <w:pPr>
      <w:spacing w:after="240" w:line="252" w:lineRule="auto"/>
    </w:pPr>
    <w:rPr>
      <w:rFonts w:ascii="Calibri" w:cs="Calibri" w:eastAsia="Calibri" w:hAnsi="Calibri"/>
      <w:b/>
      <w:bCs/>
      <w:color w:val="1F3864"/>
      <w:sz w:val="36"/>
      <w:szCs w:val="36"/>
    </w:rPr>
  </w:style>
  <w:style w:type="paragraph" w:styleId="Heading1">
    <w:name w:val="Heading 1"/>
    <w:basedOn w:val="Normal"/>
    <w:next w:val="Normal"/>
    <w:qFormat/>
    <w:pPr>
      <w:keepNext/>
      <w:pBdr>
        <w:bottom w:val="single" w:color="8EA9DB" w:sz="6" w:space="2"/>
      </w:pBd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2F5496"/>
      <w:sz w:val="22"/>
      <w:szCs w:val="22"/>
    </w:rPr>
  </w:style>
  <w:style w:type="paragraph" w:styleId="Heading4">
    <w:name w:val="Heading 4"/>
    <w:basedOn w:val="Normal"/>
    <w:next w:val="Normal"/>
    <w:qFormat/>
    <w:pPr>
      <w:keepNext/>
      <w:spacing w:after="60" w:before="180"/>
      <w:outlineLvl w:val="3"/>
    </w:pPr>
    <w:rPr>
      <w:rFonts w:ascii="Calibri" w:cs="Calibri" w:eastAsia="Calibri" w:hAnsi="Calibri"/>
      <w:b/>
      <w:bCs/>
      <w:i/>
      <w:iCs/>
      <w:color w:val="2F5496"/>
      <w:sz w:val="21"/>
      <w:szCs w:val="21"/>
    </w:rPr>
  </w:style>
  <w:style w:type="paragraph" w:styleId="Code">
    <w:name w:val="Code"/>
    <w:basedOn w:val="Normal"/>
    <w:pPr>
      <w:spacing w:line="240" w:lineRule="auto"/>
    </w:pPr>
    <w:rPr>
      <w:rFonts w:ascii="Consolas" w:cs="Consolas" w:eastAsia="Consolas" w:hAnsi="Consolas"/>
      <w:sz w:val="16"/>
      <w:szCs w:val="16"/>
    </w:rPr>
  </w:style>
  <w:style w:type="paragraph" w:styleId="CodeLabel">
    <w:name w:val="Code Label"/>
    <w:basedOn w:val="Normal"/>
    <w:pPr>
      <w:keepNext/>
      <w:spacing w:after="0" w:before="120"/>
    </w:pPr>
    <w:rPr>
      <w:rFonts w:ascii="Calibri" w:cs="Calibri" w:eastAsia="Calibri" w:hAnsi="Calibri"/>
      <w:caps/>
      <w:color w:val="7F7F7F"/>
      <w:sz w:val="14"/>
      <w:szCs w:val="14"/>
    </w:rPr>
  </w:style>
  <w:style w:type="paragraph" w:styleId="ContentsHeading">
    <w:name w:val="Contents Heading"/>
    <w:basedOn w:val="Normal"/>
    <w:pPr>
      <w:spacing w:after="80" w:before="240"/>
    </w:pPr>
    <w:rPr>
      <w:rFonts w:ascii="Calibri" w:cs="Calibri" w:eastAsia="Calibri" w:hAnsi="Calibri"/>
      <w:b/>
      <w:bCs/>
      <w:color w:val="1F3864"/>
      <w:sz w:val="24"/>
      <w:szCs w:val="24"/>
    </w:rPr>
  </w:style>
  <w:style w:type="paragraph" w:styleId="ContentsItem">
    <w:name w:val="Contents Item"/>
    <w:basedOn w:val="Normal"/>
    <w:pPr>
      <w:spacing w:after="20"/>
      <w:ind w:left="240"/>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12 — Platform Engineering, DevOps &amp; Extended Agentic Topics</dc:title>
  <dc:creator>Apex Home Lending programme</dc:creator>
  <dc:description>Generated from 12-platform-engineering-devops-extended-ai.md</dc:description>
  <cp:lastModifiedBy>Un-named</cp:lastModifiedBy>
  <cp:revision>1</cp:revision>
  <dcterms:created xsi:type="dcterms:W3CDTF">2026-10-20T04:21:45.019Z</dcterms:created>
  <dcterms:modified xsi:type="dcterms:W3CDTF">2026-10-20T04:21:45.019Z</dcterms:modified>
</cp:coreProperties>
</file>

<file path=docProps/custom.xml><?xml version="1.0" encoding="utf-8"?>
<Properties xmlns="http://schemas.openxmlformats.org/officeDocument/2006/custom-properties" xmlns:vt="http://schemas.openxmlformats.org/officeDocument/2006/docPropsVTypes"/>
</file>