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DocTitle"/>
      </w:pPr>
      <w:r>
        <w:t xml:space="preserve">Module 14 — Salesforce Data Architecture: Modeling, Large Data Volumes, Migration &amp; Governance</w:t>
      </w:r>
    </w:p>
    <w:p>
      <w:pPr>
        <w:spacing w:after="120"/>
      </w:pPr>
      <w:r>
        <w:rPr>
          <w:b/>
          <w:bCs/>
        </w:rPr>
        <w:t xml:space="preserve">Goal:</w:t>
      </w:r>
      <w:r>
        <w:t xml:space="preserve"> Design and defend Apex's Salesforce data architecture the way a data architect is examined on it: a model that serves both the retail and broker channels, volumes that stay fast, a migration you could run on a real cutover weekend, and a governance programme that satisfies PIPEDA, Quebec's Law 25, CASL, FINTRAC and a federal prudential regulator.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306"/>
        <w:gridCol w:w="8774"/>
      </w:tblGrid>
      <w:tr>
        <w:trPr>
          <w:cantSplit/>
        </w:trPr>
        <w:tc>
          <w:tcPr>
            <w:tcW w:type="dxa" w:w="1306"/>
            <w:tcBorders>
              <w:top w:val="single" w:color="BFBFBF" w:sz="4"/>
              <w:left w:val="single" w:color="BFBFBF" w:sz="4"/>
              <w:bottom w:val="single" w:color="BFBFBF" w:sz="4"/>
              <w:right w:val="single" w:color="BFBFBF" w:sz="4"/>
            </w:tcBorders>
            <w:shd w:fill="EAF0F8" w:color="auto" w:val="clear"/>
            <w:tcMar>
              <w:top w:type="dxa" w:w="50"/>
              <w:left w:type="dxa" w:w="80"/>
              <w:bottom w:type="dxa" w:w="50"/>
              <w:right w:type="dxa" w:w="80"/>
            </w:tcMar>
          </w:tcPr>
          <w:p>
            <w:pPr>
              <w:spacing w:after="0"/>
            </w:pPr>
            <w:r>
              <w:rPr>
                <w:b/>
                <w:bCs/>
                <w:sz w:val="17"/>
                <w:szCs w:val="17"/>
              </w:rPr>
              <w:t xml:space="preserve">Effort</w:t>
            </w:r>
          </w:p>
        </w:tc>
        <w:tc>
          <w:tcPr>
            <w:tcW w:type="dxa" w:w="877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~5 weeks at 8–10 h/week (Phase 6)</w:t>
            </w:r>
          </w:p>
        </w:tc>
      </w:tr>
      <w:tr>
        <w:trPr>
          <w:cantSplit/>
        </w:trPr>
        <w:tc>
          <w:tcPr>
            <w:tcW w:type="dxa" w:w="1306"/>
            <w:tcBorders>
              <w:top w:val="single" w:color="BFBFBF" w:sz="4"/>
              <w:left w:val="single" w:color="BFBFBF" w:sz="4"/>
              <w:bottom w:val="single" w:color="BFBFBF" w:sz="4"/>
              <w:right w:val="single" w:color="BFBFBF" w:sz="4"/>
            </w:tcBorders>
            <w:shd w:fill="EAF0F8" w:color="auto" w:val="clear"/>
            <w:tcMar>
              <w:top w:type="dxa" w:w="50"/>
              <w:left w:type="dxa" w:w="80"/>
              <w:bottom w:type="dxa" w:w="50"/>
              <w:right w:type="dxa" w:w="80"/>
            </w:tcMar>
          </w:tcPr>
          <w:p>
            <w:pPr>
              <w:spacing w:after="0"/>
            </w:pPr>
            <w:r>
              <w:rPr>
                <w:b/>
                <w:bCs/>
                <w:sz w:val="17"/>
                <w:szCs w:val="17"/>
              </w:rPr>
              <w:t xml:space="preserve">Orgs</w:t>
            </w:r>
          </w:p>
        </w:tc>
        <w:tc>
          <w:tcPr>
            <w:tcW w:type="dxa" w:w="877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Developer Edition (the Apex org) for design and governance labs. Its data storage is only </w:t>
            </w:r>
            <w:r>
              <w:rPr>
                <w:b/>
                <w:bCs/>
                <w:sz w:val="17"/>
                <w:szCs w:val="17"/>
              </w:rPr>
              <w:t xml:space="preserve">5 MB</w:t>
            </w:r>
            <w:r>
              <w:rPr>
                <w:b w:val="false"/>
                <w:bCs w:val="false"/>
                <w:sz w:val="17"/>
                <w:szCs w:val="17"/>
              </w:rPr>
              <w:t xml:space="preserve">, so volume and migration rehearsals run in a </w:t>
            </w:r>
            <w:r>
              <w:rPr>
                <w:b/>
                <w:bCs/>
                <w:sz w:val="17"/>
                <w:szCs w:val="17"/>
              </w:rPr>
              <w:t xml:space="preserve">scratch org</w:t>
            </w:r>
            <w:r>
              <w:rPr>
                <w:b w:val="false"/>
                <w:bCs w:val="false"/>
                <w:sz w:val="17"/>
                <w:szCs w:val="17"/>
              </w:rPr>
              <w:t xml:space="preserve"> (500 MB data, 50 MB files; a Developer Edition Dev Hub allows 3 active and 6 new scratch orgs a day). Optional: an FSC trial or developer org for MG8</w:t>
            </w:r>
          </w:p>
        </w:tc>
      </w:tr>
      <w:tr>
        <w:trPr>
          <w:cantSplit/>
        </w:trPr>
        <w:tc>
          <w:tcPr>
            <w:tcW w:type="dxa" w:w="1306"/>
            <w:tcBorders>
              <w:top w:val="single" w:color="BFBFBF" w:sz="4"/>
              <w:left w:val="single" w:color="BFBFBF" w:sz="4"/>
              <w:bottom w:val="single" w:color="BFBFBF" w:sz="4"/>
              <w:right w:val="single" w:color="BFBFBF" w:sz="4"/>
            </w:tcBorders>
            <w:shd w:fill="EAF0F8" w:color="auto" w:val="clear"/>
            <w:tcMar>
              <w:top w:type="dxa" w:w="50"/>
              <w:left w:type="dxa" w:w="80"/>
              <w:bottom w:type="dxa" w:w="50"/>
              <w:right w:type="dxa" w:w="80"/>
            </w:tcMar>
          </w:tcPr>
          <w:p>
            <w:pPr>
              <w:spacing w:after="0"/>
            </w:pPr>
            <w:r>
              <w:rPr>
                <w:b/>
                <w:bCs/>
                <w:sz w:val="17"/>
                <w:szCs w:val="17"/>
              </w:rPr>
              <w:t xml:space="preserve">Prereqs</w:t>
            </w:r>
          </w:p>
        </w:tc>
        <w:tc>
          <w:tcPr>
            <w:tcW w:type="dxa" w:w="877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Projects 02–04 and 06 (servicing system, Salesforce model, Data 360, nightly pipeline); Project 13 §1.2 model additions; Module 10 H6 (lake) for DM6</w:t>
            </w:r>
          </w:p>
        </w:tc>
      </w:tr>
      <w:tr>
        <w:trPr>
          <w:cantSplit/>
        </w:trPr>
        <w:tc>
          <w:tcPr>
            <w:tcW w:type="dxa" w:w="1306"/>
            <w:tcBorders>
              <w:top w:val="single" w:color="BFBFBF" w:sz="4"/>
              <w:left w:val="single" w:color="BFBFBF" w:sz="4"/>
              <w:bottom w:val="single" w:color="BFBFBF" w:sz="4"/>
              <w:right w:val="single" w:color="BFBFBF" w:sz="4"/>
            </w:tcBorders>
            <w:shd w:fill="EAF0F8" w:color="auto" w:val="clear"/>
            <w:tcMar>
              <w:top w:type="dxa" w:w="50"/>
              <w:left w:type="dxa" w:w="80"/>
              <w:bottom w:type="dxa" w:w="50"/>
              <w:right w:type="dxa" w:w="80"/>
            </w:tcMar>
          </w:tcPr>
          <w:p>
            <w:pPr>
              <w:spacing w:after="0"/>
            </w:pPr>
            <w:r>
              <w:rPr>
                <w:b/>
                <w:bCs/>
                <w:sz w:val="17"/>
                <w:szCs w:val="17"/>
              </w:rPr>
              <w:t xml:space="preserve">Produces</w:t>
            </w:r>
          </w:p>
        </w:tc>
        <w:tc>
          <w:tcPr>
            <w:tcW w:type="dxa" w:w="877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ERD + data dictionary with classification, skew and query-plan evidence, an external-object archive, a big object, a rehearsed migration with a reconciliation report and cutover runbook, consent model, privacy-request orchestration, retention schedule, ADR-037…041</w:t>
            </w:r>
          </w:p>
        </w:tc>
      </w:tr>
      <w:tr>
        <w:trPr>
          <w:cantSplit/>
        </w:trPr>
        <w:tc>
          <w:tcPr>
            <w:tcW w:type="dxa" w:w="1306"/>
            <w:tcBorders>
              <w:top w:val="single" w:color="BFBFBF" w:sz="4"/>
              <w:left w:val="single" w:color="BFBFBF" w:sz="4"/>
              <w:bottom w:val="single" w:color="BFBFBF" w:sz="4"/>
              <w:right w:val="single" w:color="BFBFBF" w:sz="4"/>
            </w:tcBorders>
            <w:shd w:fill="EAF0F8" w:color="auto" w:val="clear"/>
            <w:tcMar>
              <w:top w:type="dxa" w:w="50"/>
              <w:left w:type="dxa" w:w="80"/>
              <w:bottom w:type="dxa" w:w="50"/>
              <w:right w:type="dxa" w:w="80"/>
            </w:tcMar>
          </w:tcPr>
          <w:p>
            <w:pPr>
              <w:spacing w:after="0"/>
            </w:pPr>
            <w:r>
              <w:rPr>
                <w:b/>
                <w:bCs/>
                <w:sz w:val="17"/>
                <w:szCs w:val="17"/>
              </w:rPr>
              <w:t xml:space="preserve">Diagrams</w:t>
            </w:r>
          </w:p>
        </w:tc>
        <w:tc>
          <w:tcPr>
            <w:tcW w:type="dxa" w:w="877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6"/>
                <w:szCs w:val="16"/>
                <w:shd w:fill="EEF0F3" w:color="auto" w:val="clear"/>
              </w:rPr>
              <w:t xml:space="preserve">17-data-tiering-migration</w:t>
            </w:r>
            <w:r>
              <w:rPr>
                <w:b w:val="false"/>
                <w:bCs w:val="false"/>
                <w:sz w:val="17"/>
                <w:szCs w:val="17"/>
              </w:rPr>
              <w:t xml:space="preserve"> (Mermaid + draw.io), </w:t>
            </w:r>
            <w:r>
              <w:rPr>
                <w:rFonts w:ascii="Consolas" w:cs="Consolas" w:eastAsia="Consolas" w:hAnsi="Consolas"/>
                <w:b w:val="false"/>
                <w:bCs w:val="false"/>
                <w:sz w:val="16"/>
                <w:szCs w:val="16"/>
                <w:shd w:fill="EEF0F3" w:color="auto" w:val="clear"/>
              </w:rPr>
              <w:t xml:space="preserve">erd-21-apex-data-model</w:t>
            </w:r>
          </w:p>
        </w:tc>
      </w:tr>
      <w:tr>
        <w:trPr>
          <w:cantSplit/>
        </w:trPr>
        <w:tc>
          <w:tcPr>
            <w:tcW w:type="dxa" w:w="1306"/>
            <w:tcBorders>
              <w:top w:val="single" w:color="BFBFBF" w:sz="4"/>
              <w:left w:val="single" w:color="BFBFBF" w:sz="4"/>
              <w:bottom w:val="single" w:color="BFBFBF" w:sz="4"/>
              <w:right w:val="single" w:color="BFBFBF" w:sz="4"/>
            </w:tcBorders>
            <w:shd w:fill="EAF0F8" w:color="auto" w:val="clear"/>
            <w:tcMar>
              <w:top w:type="dxa" w:w="50"/>
              <w:left w:type="dxa" w:w="80"/>
              <w:bottom w:type="dxa" w:w="50"/>
              <w:right w:type="dxa" w:w="80"/>
            </w:tcMar>
          </w:tcPr>
          <w:p>
            <w:pPr>
              <w:spacing w:after="0"/>
            </w:pPr>
            <w:r>
              <w:rPr>
                <w:b/>
                <w:bCs/>
                <w:sz w:val="17"/>
                <w:szCs w:val="17"/>
              </w:rPr>
              <w:t xml:space="preserve">Optional exam</w:t>
            </w:r>
          </w:p>
        </w:tc>
        <w:tc>
          <w:tcPr>
            <w:tcW w:type="dxa" w:w="877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Salesforce </w:t>
            </w:r>
            <w:r>
              <w:rPr>
                <w:b/>
                <w:bCs/>
                <w:sz w:val="17"/>
                <w:szCs w:val="17"/>
              </w:rPr>
              <w:t xml:space="preserve">Platform Data Architect</w:t>
            </w:r>
            <w:r>
              <w:rPr>
                <w:b w:val="false"/>
                <w:bCs w:val="false"/>
                <w:sz w:val="17"/>
                <w:szCs w:val="17"/>
              </w:rPr>
              <w:t xml:space="preserve">: 60 scored questions (plus up to 5 unscored), 105 min, 58% to pass (third-party summary — confirm on Trailhead ⚠)</w:t>
            </w:r>
          </w:p>
        </w:tc>
      </w:tr>
    </w:tbl>
    <w:p>
      <w:pPr>
        <w:spacing w:after="120"/>
      </w:pPr>
    </w:p>
    <w:p>
      <w:pPr>
        <w:pBdr>
          <w:bottom w:val="single" w:color="BFBFBF" w:sz="6" w:space="1"/>
        </w:pBdr>
        <w:spacing w:after="120" w:before="120"/>
      </w:pPr>
    </w:p>
    <w:p>
      <w:pPr>
        <w:pStyle w:val="ContentsHeading"/>
      </w:pPr>
      <w:r>
        <w:t xml:space="preserve">Contents</w:t>
      </w:r>
    </w:p>
    <w:p>
      <w:pPr>
        <w:pStyle w:val="ContentsItem"/>
      </w:pPr>
      <w:hyperlink w:history="1" w:anchor="s1">
        <w:r>
          <w:rPr>
            <w:color w:val="0563C1"/>
          </w:rPr>
          <w:t xml:space="preserve">1. Blueprint and coverage</w:t>
        </w:r>
      </w:hyperlink>
    </w:p>
    <w:p>
      <w:pPr>
        <w:pStyle w:val="ContentsItem"/>
      </w:pPr>
      <w:hyperlink w:history="1" w:anchor="s2">
        <w:r>
          <w:rPr>
            <w:color w:val="0563C1"/>
          </w:rPr>
          <w:t xml:space="preserve">2. Setup</w:t>
        </w:r>
      </w:hyperlink>
    </w:p>
    <w:p>
      <w:pPr>
        <w:pStyle w:val="ContentsItem"/>
      </w:pPr>
      <w:hyperlink w:history="1" w:anchor="s3">
        <w:r>
          <w:rPr>
            <w:color w:val="0563C1"/>
          </w:rPr>
          <w:t xml:space="preserve">3. Data modeling</w:t>
        </w:r>
      </w:hyperlink>
    </w:p>
    <w:p>
      <w:pPr>
        <w:pStyle w:val="ContentsItem"/>
      </w:pPr>
      <w:hyperlink w:history="1" w:anchor="s4">
        <w:r>
          <w:rPr>
            <w:color w:val="0563C1"/>
          </w:rPr>
          <w:t xml:space="preserve">4. Large data volumes</w:t>
        </w:r>
      </w:hyperlink>
    </w:p>
    <w:p>
      <w:pPr>
        <w:pStyle w:val="ContentsItem"/>
      </w:pPr>
      <w:hyperlink w:history="1" w:anchor="s5">
        <w:r>
          <w:rPr>
            <w:color w:val="0563C1"/>
          </w:rPr>
          <w:t xml:space="preserve">5. Data management and quality</w:t>
        </w:r>
      </w:hyperlink>
    </w:p>
    <w:p>
      <w:pPr>
        <w:pStyle w:val="ContentsItem"/>
      </w:pPr>
      <w:hyperlink w:history="1" w:anchor="s6">
        <w:r>
          <w:rPr>
            <w:color w:val="0563C1"/>
          </w:rPr>
          <w:t xml:space="preserve">6. Master data management</w:t>
        </w:r>
      </w:hyperlink>
    </w:p>
    <w:p>
      <w:pPr>
        <w:pStyle w:val="ContentsItem"/>
      </w:pPr>
      <w:hyperlink w:history="1" w:anchor="s7">
        <w:r>
          <w:rPr>
            <w:color w:val="0563C1"/>
          </w:rPr>
          <w:t xml:space="preserve">7. Data migration — legacy CRM to Salesforce</w:t>
        </w:r>
      </w:hyperlink>
    </w:p>
    <w:p>
      <w:pPr>
        <w:pStyle w:val="ContentsItem"/>
      </w:pPr>
      <w:hyperlink w:history="1" w:anchor="s8">
        <w:r>
          <w:rPr>
            <w:color w:val="0563C1"/>
          </w:rPr>
          <w:t xml:space="preserve">8. Governance and privacy</w:t>
        </w:r>
      </w:hyperlink>
    </w:p>
    <w:p>
      <w:pPr>
        <w:pStyle w:val="ContentsItem"/>
      </w:pPr>
      <w:hyperlink w:history="1" w:anchor="s9">
        <w:r>
          <w:rPr>
            <w:color w:val="0563C1"/>
          </w:rPr>
          <w:t xml:space="preserve">9. Evidence, ADRs and exam readiness</w:t>
        </w:r>
      </w:hyperlink>
    </w:p>
    <w:p>
      <w:pPr>
        <w:pBdr>
          <w:bottom w:val="single" w:color="BFBFBF" w:sz="6" w:space="4"/>
        </w:pBdr>
      </w:pPr>
    </w:p>
    <w:p>
      <w:pPr>
        <w:pStyle w:val="Heading1"/>
      </w:pPr>
      <w:bookmarkStart w:name="s1" w:id="1"/>
      <w:r>
        <w:t xml:space="preserve">1. Blueprint and coverage</w:t>
      </w:r>
      <w:bookmarkEnd w:id="1"/>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43"/>
        <w:gridCol w:w="1015"/>
        <w:gridCol w:w="1822"/>
      </w:tblGrid>
      <w:tr>
        <w:trPr>
          <w:cantSplit/>
          <w:tblHeader/>
        </w:trPr>
        <w:tc>
          <w:tcPr>
            <w:tcW w:type="dxa" w:w="7243"/>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Exam section</w:t>
            </w:r>
          </w:p>
        </w:tc>
        <w:tc>
          <w:tcPr>
            <w:tcW w:type="dxa" w:w="1015"/>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Weight</w:t>
            </w:r>
          </w:p>
        </w:tc>
        <w:tc>
          <w:tcPr>
            <w:tcW w:type="dxa" w:w="1822"/>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Labs</w:t>
            </w:r>
          </w:p>
        </w:tc>
      </w:tr>
      <w:tr>
        <w:trPr>
          <w:cantSplit/>
        </w:trPr>
        <w:tc>
          <w:tcPr>
            <w:tcW w:type="dxa" w:w="724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Data modeling / database design (objects, relationships, ERDs, Big Objects, metadata and classification, skew)</w:t>
            </w:r>
          </w:p>
        </w:tc>
        <w:tc>
          <w:tcPr>
            <w:tcW w:type="dxa" w:w="101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25%</w:t>
            </w:r>
          </w:p>
        </w:tc>
        <w:tc>
          <w:tcPr>
            <w:tcW w:type="dxa" w:w="182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DM1–DM4, DM7</w:t>
            </w:r>
          </w:p>
        </w:tc>
      </w:tr>
      <w:tr>
        <w:trPr>
          <w:cantSplit/>
        </w:trPr>
        <w:tc>
          <w:tcPr>
            <w:tcW w:type="dxa" w:w="724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Salesforce data management (licences, data quality, 360° view, multi-org consolidation)</w:t>
            </w:r>
          </w:p>
        </w:tc>
        <w:tc>
          <w:tcPr>
            <w:tcW w:type="dxa" w:w="101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25%</w:t>
            </w:r>
          </w:p>
        </w:tc>
        <w:tc>
          <w:tcPr>
            <w:tcW w:type="dxa" w:w="182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DQ1–DQ3, Project 13 B8</w:t>
            </w:r>
          </w:p>
        </w:tc>
      </w:tr>
      <w:tr>
        <w:trPr>
          <w:cantSplit/>
        </w:trPr>
        <w:tc>
          <w:tcPr>
            <w:tcW w:type="dxa" w:w="724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Large data volume considerations (indexes, skinny tables, selective SOQL, archiving, virtualization)</w:t>
            </w:r>
          </w:p>
        </w:tc>
        <w:tc>
          <w:tcPr>
            <w:tcW w:type="dxa" w:w="101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20%</w:t>
            </w:r>
          </w:p>
        </w:tc>
        <w:tc>
          <w:tcPr>
            <w:tcW w:type="dxa" w:w="182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DM5, DM6, DM8</w:t>
            </w:r>
          </w:p>
        </w:tc>
      </w:tr>
      <w:tr>
        <w:trPr>
          <w:cantSplit/>
        </w:trPr>
        <w:tc>
          <w:tcPr>
            <w:tcW w:type="dxa" w:w="724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Data migration (quality at load, LDV loading, exports, external IDs)</w:t>
            </w:r>
          </w:p>
        </w:tc>
        <w:tc>
          <w:tcPr>
            <w:tcW w:type="dxa" w:w="101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15%</w:t>
            </w:r>
          </w:p>
        </w:tc>
        <w:tc>
          <w:tcPr>
            <w:tcW w:type="dxa" w:w="182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MG1–MG9</w:t>
            </w:r>
          </w:p>
        </w:tc>
      </w:tr>
      <w:tr>
        <w:trPr>
          <w:cantSplit/>
        </w:trPr>
        <w:tc>
          <w:tcPr>
            <w:tcW w:type="dxa" w:w="724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Data governance (privacy-compliant model, operating model, stewardship)</w:t>
            </w:r>
          </w:p>
        </w:tc>
        <w:tc>
          <w:tcPr>
            <w:tcW w:type="dxa" w:w="101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10%</w:t>
            </w:r>
          </w:p>
        </w:tc>
        <w:tc>
          <w:tcPr>
            <w:tcW w:type="dxa" w:w="182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GV1–GV8</w:t>
            </w:r>
          </w:p>
        </w:tc>
      </w:tr>
      <w:tr>
        <w:trPr>
          <w:cantSplit/>
        </w:trPr>
        <w:tc>
          <w:tcPr>
            <w:tcW w:type="dxa" w:w="724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Master data management (styles, survivorship, golden record, traceability)</w:t>
            </w:r>
          </w:p>
        </w:tc>
        <w:tc>
          <w:tcPr>
            <w:tcW w:type="dxa" w:w="101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5%</w:t>
            </w:r>
          </w:p>
        </w:tc>
        <w:tc>
          <w:tcPr>
            <w:tcW w:type="dxa" w:w="182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MD1–MD3</w:t>
            </w:r>
          </w:p>
        </w:tc>
      </w:tr>
    </w:tbl>
    <w:p>
      <w:pPr>
        <w:spacing w:after="120"/>
      </w:pPr>
    </w:p>
    <w:p>
      <w:pPr>
        <w:pBdr>
          <w:bottom w:val="single" w:color="BFBFBF" w:sz="6" w:space="1"/>
        </w:pBdr>
        <w:spacing w:after="120" w:before="120"/>
      </w:pPr>
    </w:p>
    <w:p>
      <w:pPr>
        <w:pStyle w:val="Heading1"/>
      </w:pPr>
      <w:bookmarkStart w:name="s2" w:id="2"/>
      <w:r>
        <w:t xml:space="preserve">2. Setup</w:t>
      </w:r>
      <w:bookmarkEnd w:id="2"/>
    </w:p>
    <w:p>
      <w:pPr>
        <w:spacing w:after="120"/>
      </w:pPr>
      <w:r>
        <w:t xml:space="preserve">Enable Dev Hub in the Apex Developer Edition (Setup → </w:t>
      </w:r>
      <w:r>
        <w:rPr>
          <w:b/>
          <w:bCs/>
        </w:rPr>
        <w:t xml:space="preserve">Dev Hub</w:t>
      </w:r>
      <w:r>
        <w:t xml:space="preserve"> → Enable), then create the lab org:</w:t>
      </w:r>
    </w:p>
    <w:p>
      <w:pPr>
        <w:pStyle w:val="CodeLabel"/>
        <w:ind w:left="0"/>
      </w:pPr>
      <w:r>
        <w:t xml:space="preserve">json</w:t>
      </w:r>
    </w:p>
    <w:p>
      <w:pPr>
        <w:pStyle w:val="Code"/>
        <w:shd w:fill="F3F4F6" w:color="auto" w:val="clear"/>
        <w:spacing w:after="0" w:before="40"/>
        <w:ind w:left="0"/>
      </w:pPr>
      <w:r>
        <w:rPr>
          <w:rFonts w:ascii="Consolas" w:cs="Consolas" w:eastAsia="Consolas" w:hAnsi="Consolas"/>
        </w:rPr>
        <w:t xml:space="preserve">{</w:t>
      </w:r>
    </w:p>
    <w:p>
      <w:pPr>
        <w:pStyle w:val="Code"/>
        <w:shd w:fill="F3F4F6" w:color="auto" w:val="clear"/>
        <w:spacing w:after="0" w:before="0"/>
        <w:ind w:left="0"/>
      </w:pPr>
      <w:r>
        <w:rPr>
          <w:rFonts w:ascii="Consolas" w:cs="Consolas" w:eastAsia="Consolas" w:hAnsi="Consolas"/>
        </w:rPr>
        <w:t xml:space="preserve">  "orgName": "Apex Data Lab",</w:t>
      </w:r>
    </w:p>
    <w:p>
      <w:pPr>
        <w:pStyle w:val="Code"/>
        <w:shd w:fill="F3F4F6" w:color="auto" w:val="clear"/>
        <w:spacing w:after="0" w:before="0"/>
        <w:ind w:left="0"/>
      </w:pPr>
      <w:r>
        <w:rPr>
          <w:rFonts w:ascii="Consolas" w:cs="Consolas" w:eastAsia="Consolas" w:hAnsi="Consolas"/>
        </w:rPr>
        <w:t xml:space="preserve">  "edition": "Enterprise",</w:t>
      </w:r>
    </w:p>
    <w:p>
      <w:pPr>
        <w:pStyle w:val="Code"/>
        <w:shd w:fill="F3F4F6" w:color="auto" w:val="clear"/>
        <w:spacing w:after="0" w:before="0"/>
        <w:ind w:left="0"/>
      </w:pPr>
      <w:r>
        <w:rPr>
          <w:rFonts w:ascii="Consolas" w:cs="Consolas" w:eastAsia="Consolas" w:hAnsi="Consolas"/>
        </w:rPr>
        <w:t xml:space="preserve">  "features": [],</w:t>
      </w:r>
    </w:p>
    <w:p>
      <w:pPr>
        <w:pStyle w:val="Code"/>
        <w:shd w:fill="F3F4F6" w:color="auto" w:val="clear"/>
        <w:spacing w:after="0" w:before="0"/>
        <w:ind w:left="0"/>
      </w:pPr>
      <w:r>
        <w:rPr>
          <w:rFonts w:ascii="Consolas" w:cs="Consolas" w:eastAsia="Consolas" w:hAnsi="Consolas"/>
        </w:rPr>
        <w:t xml:space="preserve">  "settings": {</w:t>
      </w:r>
    </w:p>
    <w:p>
      <w:pPr>
        <w:pStyle w:val="Code"/>
        <w:shd w:fill="F3F4F6" w:color="auto" w:val="clear"/>
        <w:spacing w:after="0" w:before="0"/>
        <w:ind w:left="0"/>
      </w:pPr>
      <w:r>
        <w:rPr>
          <w:rFonts w:ascii="Consolas" w:cs="Consolas" w:eastAsia="Consolas" w:hAnsi="Consolas"/>
        </w:rPr>
        <w:t xml:space="preserve">    "lightningExperienceSettings": { "enableS1DesktopEnabled": true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160" w:before="0"/>
        <w:ind w:left="0"/>
      </w:pPr>
      <w:r>
        <w:rPr>
          <w:rFonts w:ascii="Consolas" w:cs="Consolas" w:eastAsia="Consolas" w:hAnsi="Consolas"/>
        </w:rPr>
        <w:t xml:space="preserve">}</w:t>
      </w:r>
    </w:p>
    <w:p>
      <w:pPr>
        <w:pStyle w:val="CodeLabel"/>
        <w:ind w:left="0"/>
      </w:pPr>
      <w:r>
        <w:t xml:space="preserve">bash</w:t>
      </w:r>
    </w:p>
    <w:p>
      <w:pPr>
        <w:pStyle w:val="Code"/>
        <w:shd w:fill="F3F4F6" w:color="auto" w:val="clear"/>
        <w:spacing w:after="0" w:before="40"/>
        <w:ind w:left="0"/>
      </w:pPr>
      <w:r>
        <w:rPr>
          <w:rFonts w:ascii="Consolas" w:cs="Consolas" w:eastAsia="Consolas" w:hAnsi="Consolas"/>
        </w:rPr>
        <w:t xml:space="preserve">sf org create scratch --definition-file config/data-lab-scratch-def.json --alias apex-data \</w:t>
      </w:r>
    </w:p>
    <w:p>
      <w:pPr>
        <w:pStyle w:val="Code"/>
        <w:shd w:fill="F3F4F6" w:color="auto" w:val="clear"/>
        <w:spacing w:after="0" w:before="0"/>
        <w:ind w:left="0"/>
      </w:pPr>
      <w:r>
        <w:rPr>
          <w:rFonts w:ascii="Consolas" w:cs="Consolas" w:eastAsia="Consolas" w:hAnsi="Consolas"/>
        </w:rPr>
        <w:t xml:space="preserve">  --duration-days 30 --target-dev-hub apex-dev</w:t>
      </w:r>
    </w:p>
    <w:p>
      <w:pPr>
        <w:pStyle w:val="Code"/>
        <w:shd w:fill="F3F4F6" w:color="auto" w:val="clear"/>
        <w:spacing w:after="0" w:before="0"/>
        <w:ind w:left="0"/>
      </w:pPr>
      <w:r>
        <w:rPr>
          <w:rFonts w:ascii="Consolas" w:cs="Consolas" w:eastAsia="Consolas" w:hAnsi="Consolas"/>
        </w:rPr>
        <w:t xml:space="preserve">sf project deploy start --source-dir force-app --target-org apex-data      # the Project 03 + 13 model</w:t>
      </w:r>
    </w:p>
    <w:p>
      <w:pPr>
        <w:pStyle w:val="Code"/>
        <w:shd w:fill="F3F4F6" w:color="auto" w:val="clear"/>
        <w:spacing w:after="160" w:before="0"/>
        <w:ind w:left="0"/>
      </w:pPr>
      <w:r>
        <w:rPr>
          <w:rFonts w:ascii="Consolas" w:cs="Consolas" w:eastAsia="Consolas" w:hAnsi="Consolas"/>
        </w:rPr>
        <w:t xml:space="preserve">sf org open --target-org apex-data</w:t>
      </w:r>
    </w:p>
    <w:p>
      <w:pPr>
        <w:spacing w:after="120"/>
      </w:pPr>
      <w:r>
        <w:t xml:space="preserve">Legacy-CRM export generator (</w:t>
      </w:r>
      <w:r>
        <w:rPr>
          <w:rFonts w:ascii="Consolas" w:cs="Consolas" w:eastAsia="Consolas" w:hAnsi="Consolas"/>
          <w:sz w:val="19"/>
          <w:szCs w:val="19"/>
          <w:shd w:fill="EEF0F3" w:color="auto" w:val="clear"/>
        </w:rPr>
        <w:t xml:space="preserve">14-data/gen_legacy.py</w:t>
      </w:r>
      <w:r>
        <w:t xml:space="preserve">; a tested copy is in </w:t>
      </w:r>
      <w:r>
        <w:rPr>
          <w:rFonts w:ascii="Consolas" w:cs="Consolas" w:eastAsia="Consolas" w:hAnsi="Consolas"/>
          <w:sz w:val="19"/>
          <w:szCs w:val="19"/>
          <w:shd w:fill="EEF0F3" w:color="auto" w:val="clear"/>
        </w:rPr>
        <w:t xml:space="preserve">code/14-data/</w:t>
      </w:r>
      <w:r>
        <w:t xml:space="preserve">). It produces deliberately messy data, the way real exports are. Only households, borrowers and </w:t>
      </w:r>
      <w:r>
        <w:rPr>
          <w:b/>
          <w:bCs/>
        </w:rPr>
        <w:t xml:space="preserve">in-flight</w:t>
      </w:r>
      <w:r>
        <w:t xml:space="preserve"> deals come from the legacy CRM; funded loans come from the servicing system, their system of record (MG4):</w:t>
      </w:r>
    </w:p>
    <w:p>
      <w:pPr>
        <w:pStyle w:val="CodeLabel"/>
        <w:ind w:left="0"/>
      </w:pPr>
      <w:r>
        <w:t xml:space="preserve">python</w:t>
      </w:r>
    </w:p>
    <w:p>
      <w:pPr>
        <w:pStyle w:val="Code"/>
        <w:shd w:fill="F3F4F6" w:color="auto" w:val="clear"/>
        <w:spacing w:after="0" w:before="40"/>
        <w:ind w:left="0"/>
      </w:pPr>
      <w:r>
        <w:rPr>
          <w:rFonts w:ascii="Consolas" w:cs="Consolas" w:eastAsia="Consolas" w:hAnsi="Consolas"/>
        </w:rPr>
        <w:t xml:space="preserve">"""Generate a messy legacy-CRM export for migration rehearsals (Module 14)."""</w:t>
      </w:r>
    </w:p>
    <w:p>
      <w:pPr>
        <w:pStyle w:val="Code"/>
        <w:shd w:fill="F3F4F6" w:color="auto" w:val="clear"/>
        <w:spacing w:after="0" w:before="0"/>
        <w:ind w:left="0"/>
      </w:pPr>
      <w:r>
        <w:rPr>
          <w:rFonts w:ascii="Consolas" w:cs="Consolas" w:eastAsia="Consolas" w:hAnsi="Consolas"/>
        </w:rPr>
        <w:t xml:space="preserve">import csv, random</w:t>
      </w:r>
    </w:p>
    <w:p>
      <w:pPr>
        <w:pStyle w:val="Code"/>
        <w:shd w:fill="F3F4F6" w:color="auto" w:val="clear"/>
        <w:spacing w:after="0" w:before="0"/>
        <w:ind w:left="0"/>
      </w:pPr>
      <w:r>
        <w:rPr>
          <w:rFonts w:ascii="Consolas" w:cs="Consolas" w:eastAsia="Consolas" w:hAnsi="Consolas"/>
        </w:rPr>
        <w:t xml:space="preserve">from pathlib import Path</w:t>
      </w:r>
    </w:p>
    <w:p>
      <w:pPr>
        <w:pStyle w:val="Code"/>
        <w:shd w:fill="F3F4F6" w:color="auto" w:val="clear"/>
        <w:spacing w:after="0" w:before="0"/>
        <w:ind w:left="0"/>
      </w:pPr>
      <w:r>
        <w:rPr>
          <w:rFonts w:ascii="Consolas" w:cs="Consolas" w:eastAsia="Consolas" w:hAnsi="Consolas"/>
        </w:rPr>
        <w:t xml:space="preserve">from faker import Faker</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fake, rnd = Faker("en_CA"), random.Random(14)</w:t>
      </w:r>
    </w:p>
    <w:p>
      <w:pPr>
        <w:pStyle w:val="Code"/>
        <w:shd w:fill="F3F4F6" w:color="auto" w:val="clear"/>
        <w:spacing w:after="0" w:before="0"/>
        <w:ind w:left="0"/>
      </w:pPr>
      <w:r>
        <w:rPr>
          <w:rFonts w:ascii="Consolas" w:cs="Consolas" w:eastAsia="Consolas" w:hAnsi="Consolas"/>
        </w:rPr>
        <w:t xml:space="preserve">out = Path("14-data/legacy")</w:t>
      </w:r>
    </w:p>
    <w:p>
      <w:pPr>
        <w:pStyle w:val="Code"/>
        <w:shd w:fill="F3F4F6" w:color="auto" w:val="clear"/>
        <w:spacing w:after="0" w:before="0"/>
        <w:ind w:left="0"/>
      </w:pPr>
      <w:r>
        <w:rPr>
          <w:rFonts w:ascii="Consolas" w:cs="Consolas" w:eastAsia="Consolas" w:hAnsi="Consolas"/>
        </w:rPr>
        <w:t xml:space="preserve">out.mkdir(parents=True, exist_ok=True)</w:t>
      </w:r>
    </w:p>
    <w:p>
      <w:pPr>
        <w:pStyle w:val="Code"/>
        <w:shd w:fill="F3F4F6" w:color="auto" w:val="clear"/>
        <w:spacing w:after="0" w:before="0"/>
        <w:ind w:left="0"/>
      </w:pPr>
      <w:r>
        <w:rPr>
          <w:rFonts w:ascii="Consolas" w:cs="Consolas" w:eastAsia="Consolas" w:hAnsi="Consolas"/>
        </w:rPr>
        <w:t xml:space="preserve">owners = [f"ms{i:03d}@apexhl.example" for i in range(1, 41)] + ["departed1@apexhl.example", "departed2@apexhl.example"]</w:t>
      </w:r>
    </w:p>
    <w:p>
      <w:pPr>
        <w:pStyle w:val="Code"/>
        <w:shd w:fill="F3F4F6" w:color="auto" w:val="clear"/>
        <w:spacing w:after="0" w:before="0"/>
        <w:ind w:left="0"/>
      </w:pPr>
      <w:r>
        <w:rPr>
          <w:rFonts w:ascii="Consolas" w:cs="Consolas" w:eastAsia="Consolas" w:hAnsi="Consolas"/>
        </w:rPr>
        <w:t xml:space="preserve">provinces = ["BC", "bc", "British Columbia", "AB", "ON", "Ont.", "QC", "NS"]</w:t>
      </w:r>
    </w:p>
    <w:p>
      <w:pPr>
        <w:pStyle w:val="Code"/>
        <w:shd w:fill="F3F4F6" w:color="auto" w:val="clear"/>
        <w:spacing w:after="0" w:before="0"/>
        <w:ind w:left="0"/>
      </w:pPr>
      <w:r>
        <w:rPr>
          <w:rFonts w:ascii="Consolas" w:cs="Consolas" w:eastAsia="Consolas" w:hAnsi="Consolas"/>
        </w:rPr>
        <w:t xml:space="preserve">stages = ["Application", "Underwriting", "Commitment Issued", "Conditions Satisfied"]</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with open(out / "households.csv", "w", newline="") as h, open(out / "borrowers.csv", "w", newline="") as b, \</w:t>
      </w:r>
    </w:p>
    <w:p>
      <w:pPr>
        <w:pStyle w:val="Code"/>
        <w:shd w:fill="F3F4F6" w:color="auto" w:val="clear"/>
        <w:spacing w:after="0" w:before="0"/>
        <w:ind w:left="0"/>
      </w:pPr>
      <w:r>
        <w:rPr>
          <w:rFonts w:ascii="Consolas" w:cs="Consolas" w:eastAsia="Consolas" w:hAnsi="Consolas"/>
        </w:rPr>
        <w:t xml:space="preserve">        open(out / "deals.csv", "w", newline="") as d:</w:t>
      </w:r>
    </w:p>
    <w:p>
      <w:pPr>
        <w:pStyle w:val="Code"/>
        <w:shd w:fill="F3F4F6" w:color="auto" w:val="clear"/>
        <w:spacing w:after="0" w:before="0"/>
        <w:ind w:left="0"/>
      </w:pPr>
      <w:r>
        <w:rPr>
          <w:rFonts w:ascii="Consolas" w:cs="Consolas" w:eastAsia="Consolas" w:hAnsi="Consolas"/>
        </w:rPr>
        <w:t xml:space="preserve">    hw, bw, dw = csv.writer(h), csv.writer(b), csv.writer(d)</w:t>
      </w:r>
    </w:p>
    <w:p>
      <w:pPr>
        <w:pStyle w:val="Code"/>
        <w:shd w:fill="F3F4F6" w:color="auto" w:val="clear"/>
        <w:spacing w:after="0" w:before="0"/>
        <w:ind w:left="0"/>
      </w:pPr>
      <w:r>
        <w:rPr>
          <w:rFonts w:ascii="Consolas" w:cs="Consolas" w:eastAsia="Consolas" w:hAnsi="Consolas"/>
        </w:rPr>
        <w:t xml:space="preserve">    hw.writerow(["LEGACY_HH_ID", "NAME", "OWNER_EMAIL", "BRANCH"])</w:t>
      </w:r>
    </w:p>
    <w:p>
      <w:pPr>
        <w:pStyle w:val="Code"/>
        <w:shd w:fill="F3F4F6" w:color="auto" w:val="clear"/>
        <w:spacing w:after="0" w:before="0"/>
        <w:ind w:left="0"/>
      </w:pPr>
      <w:r>
        <w:rPr>
          <w:rFonts w:ascii="Consolas" w:cs="Consolas" w:eastAsia="Consolas" w:hAnsi="Consolas"/>
        </w:rPr>
        <w:t xml:space="preserve">    bw.writerow(["LEGACY_BORROWER_ID", "LEGACY_HH_ID", "FIRST", "LAST", "EMAIL", "PHONE",</w:t>
      </w:r>
    </w:p>
    <w:p>
      <w:pPr>
        <w:pStyle w:val="Code"/>
        <w:shd w:fill="F3F4F6" w:color="auto" w:val="clear"/>
        <w:spacing w:after="0" w:before="0"/>
        <w:ind w:left="0"/>
      </w:pPr>
      <w:r>
        <w:rPr>
          <w:rFonts w:ascii="Consolas" w:cs="Consolas" w:eastAsia="Consolas" w:hAnsi="Consolas"/>
        </w:rPr>
        <w:t xml:space="preserve">                 "STREET", "CITY", "PROV", "POSTAL", "DOB", "MODIFIED"])</w:t>
      </w:r>
    </w:p>
    <w:p>
      <w:pPr>
        <w:pStyle w:val="Code"/>
        <w:shd w:fill="F3F4F6" w:color="auto" w:val="clear"/>
        <w:spacing w:after="0" w:before="0"/>
        <w:ind w:left="0"/>
      </w:pPr>
      <w:r>
        <w:rPr>
          <w:rFonts w:ascii="Consolas" w:cs="Consolas" w:eastAsia="Consolas" w:hAnsi="Consolas"/>
        </w:rPr>
        <w:t xml:space="preserve">    dw.writerow(["LEGACY_DEAL_ID", "LEGACY_HH_ID", "TYPE", "STAGE", "LOAN_AMOUNT", "PURCHASE_PRICE", "CLOSING_DATE"])</w:t>
      </w:r>
    </w:p>
    <w:p>
      <w:pPr>
        <w:pStyle w:val="Code"/>
        <w:shd w:fill="F3F4F6" w:color="auto" w:val="clear"/>
        <w:spacing w:after="0" w:before="0"/>
        <w:ind w:left="0"/>
      </w:pPr>
      <w:r>
        <w:rPr>
          <w:rFonts w:ascii="Consolas" w:cs="Consolas" w:eastAsia="Consolas" w:hAnsi="Consolas"/>
        </w:rPr>
        <w:t xml:space="preserve">    for i in range(12_000):</w:t>
      </w:r>
    </w:p>
    <w:p>
      <w:pPr>
        <w:pStyle w:val="Code"/>
        <w:shd w:fill="F3F4F6" w:color="auto" w:val="clear"/>
        <w:spacing w:after="0" w:before="0"/>
        <w:ind w:left="0"/>
      </w:pPr>
      <w:r>
        <w:rPr>
          <w:rFonts w:ascii="Consolas" w:cs="Consolas" w:eastAsia="Consolas" w:hAnsi="Consolas"/>
        </w:rPr>
        <w:t xml:space="preserve">        hh, last = f"HH{i:06d}", fake.last_name()</w:t>
      </w:r>
    </w:p>
    <w:p>
      <w:pPr>
        <w:pStyle w:val="Code"/>
        <w:shd w:fill="F3F4F6" w:color="auto" w:val="clear"/>
        <w:spacing w:after="0" w:before="0"/>
        <w:ind w:left="0"/>
      </w:pPr>
      <w:r>
        <w:rPr>
          <w:rFonts w:ascii="Consolas" w:cs="Consolas" w:eastAsia="Consolas" w:hAnsi="Consolas"/>
        </w:rPr>
        <w:t xml:space="preserve">        hw.writerow([hh, f"{last} Household", rnd.choice(owners), rnd.choice(["VAN", "TOR"])])</w:t>
      </w:r>
    </w:p>
    <w:p>
      <w:pPr>
        <w:pStyle w:val="Code"/>
        <w:shd w:fill="F3F4F6" w:color="auto" w:val="clear"/>
        <w:spacing w:after="0" w:before="0"/>
        <w:ind w:left="0"/>
      </w:pPr>
      <w:r>
        <w:rPr>
          <w:rFonts w:ascii="Consolas" w:cs="Consolas" w:eastAsia="Consolas" w:hAnsi="Consolas"/>
        </w:rPr>
        <w:t xml:space="preserve">        for j in range(rnd.choice([1, 2, 2, 3])):</w:t>
      </w:r>
    </w:p>
    <w:p>
      <w:pPr>
        <w:pStyle w:val="Code"/>
        <w:shd w:fill="F3F4F6" w:color="auto" w:val="clear"/>
        <w:spacing w:after="0" w:before="0"/>
        <w:ind w:left="0"/>
      </w:pPr>
      <w:r>
        <w:rPr>
          <w:rFonts w:ascii="Consolas" w:cs="Consolas" w:eastAsia="Consolas" w:hAnsi="Consolas"/>
        </w:rPr>
        <w:t xml:space="preserve">            first = fake.first_name()</w:t>
      </w:r>
    </w:p>
    <w:p>
      <w:pPr>
        <w:pStyle w:val="Code"/>
        <w:shd w:fill="F3F4F6" w:color="auto" w:val="clear"/>
        <w:spacing w:after="0" w:before="0"/>
        <w:ind w:left="0"/>
      </w:pPr>
      <w:r>
        <w:rPr>
          <w:rFonts w:ascii="Consolas" w:cs="Consolas" w:eastAsia="Consolas" w:hAnsi="Consolas"/>
        </w:rPr>
        <w:t xml:space="preserve">            postal = fake.postalcode() if rnd.random() &gt; 0.02 else "12345"      # 2% invalid postal codes</w:t>
      </w:r>
    </w:p>
    <w:p>
      <w:pPr>
        <w:pStyle w:val="Code"/>
        <w:shd w:fill="F3F4F6" w:color="auto" w:val="clear"/>
        <w:spacing w:after="0" w:before="0"/>
        <w:ind w:left="0"/>
      </w:pPr>
      <w:r>
        <w:rPr>
          <w:rFonts w:ascii="Consolas" w:cs="Consolas" w:eastAsia="Consolas" w:hAnsi="Consolas"/>
        </w:rPr>
        <w:t xml:space="preserve">            parent = hh if rnd.random() &gt; 0.01 else "HH999999"                 # 1% orphans</w:t>
      </w:r>
    </w:p>
    <w:p>
      <w:pPr>
        <w:pStyle w:val="Code"/>
        <w:shd w:fill="F3F4F6" w:color="auto" w:val="clear"/>
        <w:spacing w:after="0" w:before="0"/>
        <w:ind w:left="0"/>
      </w:pPr>
      <w:r>
        <w:rPr>
          <w:rFonts w:ascii="Consolas" w:cs="Consolas" w:eastAsia="Consolas" w:hAnsi="Consolas"/>
        </w:rPr>
        <w:t xml:space="preserve">            email = f"{first}.{last}{i}@example.com".lower()</w:t>
      </w:r>
    </w:p>
    <w:p>
      <w:pPr>
        <w:pStyle w:val="Code"/>
        <w:shd w:fill="F3F4F6" w:color="auto" w:val="clear"/>
        <w:spacing w:after="0" w:before="0"/>
        <w:ind w:left="0"/>
      </w:pPr>
      <w:r>
        <w:rPr>
          <w:rFonts w:ascii="Consolas" w:cs="Consolas" w:eastAsia="Consolas" w:hAnsi="Consolas"/>
        </w:rPr>
        <w:t xml:space="preserve">            bw.writerow([f"L{i:06d}{j}", parent, first, last, email, fake.phone_number(), fake.street_address(),</w:t>
      </w:r>
    </w:p>
    <w:p>
      <w:pPr>
        <w:pStyle w:val="Code"/>
        <w:shd w:fill="F3F4F6" w:color="auto" w:val="clear"/>
        <w:spacing w:after="0" w:before="0"/>
        <w:ind w:left="0"/>
      </w:pPr>
      <w:r>
        <w:rPr>
          <w:rFonts w:ascii="Consolas" w:cs="Consolas" w:eastAsia="Consolas" w:hAnsi="Consolas"/>
        </w:rPr>
        <w:t xml:space="preserve">                         fake.city(), rnd.choice(provinces), postal,</w:t>
      </w:r>
    </w:p>
    <w:p>
      <w:pPr>
        <w:pStyle w:val="Code"/>
        <w:shd w:fill="F3F4F6" w:color="auto" w:val="clear"/>
        <w:spacing w:after="0" w:before="0"/>
        <w:ind w:left="0"/>
      </w:pPr>
      <w:r>
        <w:rPr>
          <w:rFonts w:ascii="Consolas" w:cs="Consolas" w:eastAsia="Consolas" w:hAnsi="Consolas"/>
        </w:rPr>
        <w:t xml:space="preserve">                         fake.date_of_birth(minimum_age=19, maximum_age=80).isoformat(),</w:t>
      </w:r>
    </w:p>
    <w:p>
      <w:pPr>
        <w:pStyle w:val="Code"/>
        <w:shd w:fill="F3F4F6" w:color="auto" w:val="clear"/>
        <w:spacing w:after="0" w:before="0"/>
        <w:ind w:left="0"/>
      </w:pPr>
      <w:r>
        <w:rPr>
          <w:rFonts w:ascii="Consolas" w:cs="Consolas" w:eastAsia="Consolas" w:hAnsi="Consolas"/>
        </w:rPr>
        <w:t xml:space="preserve">                         fake.date_time_this_year().isoformat()])</w:t>
      </w:r>
    </w:p>
    <w:p>
      <w:pPr>
        <w:pStyle w:val="Code"/>
        <w:shd w:fill="F3F4F6" w:color="auto" w:val="clear"/>
        <w:spacing w:after="0" w:before="0"/>
        <w:ind w:left="0"/>
      </w:pPr>
      <w:r>
        <w:rPr>
          <w:rFonts w:ascii="Consolas" w:cs="Consolas" w:eastAsia="Consolas" w:hAnsi="Consolas"/>
        </w:rPr>
        <w:t xml:space="preserve">            if rnd.random() &lt; 0.03:                                            # 3% near-duplicates</w:t>
      </w:r>
    </w:p>
    <w:p>
      <w:pPr>
        <w:pStyle w:val="Code"/>
        <w:shd w:fill="F3F4F6" w:color="auto" w:val="clear"/>
        <w:spacing w:after="0" w:before="0"/>
        <w:ind w:left="0"/>
      </w:pPr>
      <w:r>
        <w:rPr>
          <w:rFonts w:ascii="Consolas" w:cs="Consolas" w:eastAsia="Consolas" w:hAnsi="Consolas"/>
        </w:rPr>
        <w:t xml:space="preserve">                bw.writerow([f"D{i:06d}{j}", hh, first[:1], last.upper(), email.upper(),</w:t>
      </w:r>
    </w:p>
    <w:p>
      <w:pPr>
        <w:pStyle w:val="Code"/>
        <w:shd w:fill="F3F4F6" w:color="auto" w:val="clear"/>
        <w:spacing w:after="0" w:before="0"/>
        <w:ind w:left="0"/>
      </w:pPr>
      <w:r>
        <w:rPr>
          <w:rFonts w:ascii="Consolas" w:cs="Consolas" w:eastAsia="Consolas" w:hAnsi="Consolas"/>
        </w:rPr>
        <w:t xml:space="preserve">                             "", "", "", "", "", "", fake.date_time_this_year().isoformat()])</w:t>
      </w:r>
    </w:p>
    <w:p>
      <w:pPr>
        <w:pStyle w:val="Code"/>
        <w:shd w:fill="F3F4F6" w:color="auto" w:val="clear"/>
        <w:spacing w:after="0" w:before="0"/>
        <w:ind w:left="0"/>
      </w:pPr>
      <w:r>
        <w:rPr>
          <w:rFonts w:ascii="Consolas" w:cs="Consolas" w:eastAsia="Consolas" w:hAnsi="Consolas"/>
        </w:rPr>
        <w:t xml:space="preserve">        if rnd.random() &lt; 0.15:                                                # in-flight deals only; funded loans come from servicing</w:t>
      </w:r>
    </w:p>
    <w:p>
      <w:pPr>
        <w:pStyle w:val="Code"/>
        <w:shd w:fill="F3F4F6" w:color="auto" w:val="clear"/>
        <w:spacing w:after="0" w:before="0"/>
        <w:ind w:left="0"/>
      </w:pPr>
      <w:r>
        <w:rPr>
          <w:rFonts w:ascii="Consolas" w:cs="Consolas" w:eastAsia="Consolas" w:hAnsi="Consolas"/>
        </w:rPr>
        <w:t xml:space="preserve">            price = rnd.randrange(400_000, 1_400_000, 5_000)</w:t>
      </w:r>
    </w:p>
    <w:p>
      <w:pPr>
        <w:pStyle w:val="Code"/>
        <w:shd w:fill="F3F4F6" w:color="auto" w:val="clear"/>
        <w:spacing w:after="0" w:before="0"/>
        <w:ind w:left="0"/>
      </w:pPr>
      <w:r>
        <w:rPr>
          <w:rFonts w:ascii="Consolas" w:cs="Consolas" w:eastAsia="Consolas" w:hAnsi="Consolas"/>
        </w:rPr>
        <w:t xml:space="preserve">            amount = price - max(round(price * rnd.choice([0.05, 0.10, 0.20, 0.35])), 25_000)</w:t>
      </w:r>
    </w:p>
    <w:p>
      <w:pPr>
        <w:pStyle w:val="Code"/>
        <w:shd w:fill="F3F4F6" w:color="auto" w:val="clear"/>
        <w:spacing w:after="0" w:before="0"/>
        <w:ind w:left="0"/>
      </w:pPr>
      <w:r>
        <w:rPr>
          <w:rFonts w:ascii="Consolas" w:cs="Consolas" w:eastAsia="Consolas" w:hAnsi="Consolas"/>
        </w:rPr>
        <w:t xml:space="preserve">            if rnd.random() &lt; 0.01:</w:t>
      </w:r>
    </w:p>
    <w:p>
      <w:pPr>
        <w:pStyle w:val="Code"/>
        <w:shd w:fill="F3F4F6" w:color="auto" w:val="clear"/>
        <w:spacing w:after="0" w:before="0"/>
        <w:ind w:left="0"/>
      </w:pPr>
      <w:r>
        <w:rPr>
          <w:rFonts w:ascii="Consolas" w:cs="Consolas" w:eastAsia="Consolas" w:hAnsi="Consolas"/>
        </w:rPr>
        <w:t xml:space="preserve">                amount = price + 1_000                                         # 1% impossible: loan above the price</w:t>
      </w:r>
    </w:p>
    <w:p>
      <w:pPr>
        <w:pStyle w:val="Code"/>
        <w:shd w:fill="F3F4F6" w:color="auto" w:val="clear"/>
        <w:spacing w:after="0" w:before="0"/>
        <w:ind w:left="0"/>
      </w:pPr>
      <w:r>
        <w:rPr>
          <w:rFonts w:ascii="Consolas" w:cs="Consolas" w:eastAsia="Consolas" w:hAnsi="Consolas"/>
        </w:rPr>
        <w:t xml:space="preserve">            dw.writerow([f"DL{i:06d}", hh, rnd.choice(["Purchase", "Purchase", "Refinance", "Switch"]),</w:t>
      </w:r>
    </w:p>
    <w:p>
      <w:pPr>
        <w:pStyle w:val="Code"/>
        <w:shd w:fill="F3F4F6" w:color="auto" w:val="clear"/>
        <w:spacing w:after="0" w:before="0"/>
        <w:ind w:left="0"/>
      </w:pPr>
      <w:r>
        <w:rPr>
          <w:rFonts w:ascii="Consolas" w:cs="Consolas" w:eastAsia="Consolas" w:hAnsi="Consolas"/>
        </w:rPr>
        <w:t xml:space="preserve">                         rnd.choice(stages), amount, price,</w:t>
      </w:r>
    </w:p>
    <w:p>
      <w:pPr>
        <w:pStyle w:val="Code"/>
        <w:shd w:fill="F3F4F6" w:color="auto" w:val="clear"/>
        <w:spacing w:after="160" w:before="0"/>
        <w:ind w:left="0"/>
      </w:pPr>
      <w:r>
        <w:rPr>
          <w:rFonts w:ascii="Consolas" w:cs="Consolas" w:eastAsia="Consolas" w:hAnsi="Consolas"/>
        </w:rPr>
        <w:t xml:space="preserve">                         fake.date_between(start_date="+10d", end_date="+120d").isoformat()])</w:t>
      </w:r>
    </w:p>
    <w:p>
      <w:pPr>
        <w:spacing w:after="120"/>
      </w:pPr>
      <w:r>
        <w:t xml:space="preserve">About 12k households, 25k borrowers and 1,800 in-flight deals is roughly 80 MB of Salesforce storage (most records count as 2 KB). Add 16k </w:t>
      </w:r>
      <w:r>
        <w:rPr>
          <w:rFonts w:ascii="Consolas" w:cs="Consolas" w:eastAsia="Consolas" w:hAnsi="Consolas"/>
          <w:sz w:val="19"/>
          <w:szCs w:val="19"/>
          <w:shd w:fill="EEF0F3" w:color="auto" w:val="clear"/>
        </w:rPr>
        <w:t xml:space="preserve">Loan__c</w:t>
      </w:r>
      <w:r>
        <w:t xml:space="preserve"> and about 25k </w:t>
      </w:r>
      <w:r>
        <w:rPr>
          <w:rFonts w:ascii="Consolas" w:cs="Consolas" w:eastAsia="Consolas" w:hAnsi="Consolas"/>
          <w:sz w:val="19"/>
          <w:szCs w:val="19"/>
          <w:shd w:fill="EEF0F3" w:color="auto" w:val="clear"/>
        </w:rPr>
        <w:t xml:space="preserve">Loan_Party__c</w:t>
      </w:r>
      <w:r>
        <w:t xml:space="preserve"> records for the volume labs and you stay well inside the scratch org's 500 MB.</w:t>
      </w:r>
    </w:p>
    <w:p>
      <w:pPr>
        <w:pBdr>
          <w:bottom w:val="single" w:color="BFBFBF" w:sz="6" w:space="1"/>
        </w:pBdr>
        <w:spacing w:after="120" w:before="120"/>
      </w:pPr>
    </w:p>
    <w:p>
      <w:pPr>
        <w:pStyle w:val="Heading1"/>
      </w:pPr>
      <w:bookmarkStart w:name="s3" w:id="3"/>
      <w:r>
        <w:t xml:space="preserve">3. Data modeling</w:t>
      </w:r>
      <w:bookmarkEnd w:id="3"/>
    </w:p>
    <w:p>
      <w:pPr>
        <w:pStyle w:val="Heading2"/>
      </w:pPr>
      <w:r>
        <w:t xml:space="preserve">DM1 — Model decision record (ADR-037)</w:t>
      </w:r>
    </w:p>
    <w:p>
      <w:pPr>
        <w:spacing w:after="120"/>
      </w:pPr>
      <w:r>
        <w:t xml:space="preserve">Draw the ERD (start from </w:t>
      </w:r>
      <w:r>
        <w:rPr>
          <w:rFonts w:ascii="Consolas" w:cs="Consolas" w:eastAsia="Consolas" w:hAnsi="Consolas"/>
          <w:sz w:val="19"/>
          <w:szCs w:val="19"/>
          <w:shd w:fill="EEF0F3" w:color="auto" w:val="clear"/>
        </w:rPr>
        <w:t xml:space="preserve">diagrams/mermaid/erd-21-apex-data-model.mmd</w:t>
      </w:r>
      <w:r>
        <w:t xml:space="preserve">) and decide, with reasons: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54"/>
        <w:gridCol w:w="3407"/>
        <w:gridCol w:w="4819"/>
      </w:tblGrid>
      <w:tr>
        <w:trPr>
          <w:cantSplit/>
          <w:tblHeader/>
        </w:trPr>
        <w:tc>
          <w:tcPr>
            <w:tcW w:type="dxa" w:w="1854"/>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Decision</w:t>
            </w:r>
          </w:p>
        </w:tc>
        <w:tc>
          <w:tcPr>
            <w:tcW w:type="dxa" w:w="3407"/>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Options</w:t>
            </w:r>
          </w:p>
        </w:tc>
        <w:tc>
          <w:tcPr>
            <w:tcW w:type="dxa" w:w="4819"/>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Apex choice and why</w:t>
            </w:r>
          </w:p>
        </w:tc>
      </w:tr>
      <w:tr>
        <w:trPr>
          <w:cantSplit/>
        </w:trPr>
        <w:tc>
          <w:tcPr>
            <w:tcW w:type="dxa" w:w="185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How a person is modelled</w:t>
            </w:r>
          </w:p>
        </w:tc>
        <w:tc>
          <w:tcPr>
            <w:tcW w:type="dxa" w:w="340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Contact under a Household Account (current) · Person Accounts · FSC households (Account-Contact Relationship or Party Relationship Group)</w:t>
            </w:r>
          </w:p>
        </w:tc>
        <w:tc>
          <w:tcPr>
            <w:tcW w:type="dxa" w:w="48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Keep Contact + Household for the lab. Person Accounts are </w:t>
            </w:r>
            <w:r>
              <w:rPr>
                <w:b/>
                <w:bCs/>
                <w:sz w:val="17"/>
                <w:szCs w:val="17"/>
              </w:rPr>
              <w:t xml:space="preserve">irreversible</w:t>
            </w:r>
            <w:r>
              <w:rPr>
                <w:b w:val="false"/>
                <w:bCs w:val="false"/>
                <w:sz w:val="17"/>
                <w:szCs w:val="17"/>
              </w:rPr>
              <w:t xml:space="preserve"> once enabled and change every integration's object mapping; FSC households are the production answer if Apex licenses FSC (MG8)</w:t>
            </w:r>
          </w:p>
        </w:tc>
      </w:tr>
      <w:tr>
        <w:trPr>
          <w:cantSplit/>
        </w:trPr>
        <w:tc>
          <w:tcPr>
            <w:tcW w:type="dxa" w:w="185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Households and relationships</w:t>
            </w:r>
          </w:p>
        </w:tc>
        <w:tc>
          <w:tcPr>
            <w:tcW w:type="dxa" w:w="340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Account Hierarchy · Contacts to Multiple Accounts (ACR) · custom junction</w:t>
            </w:r>
          </w:p>
        </w:tc>
        <w:tc>
          <w:tcPr>
            <w:tcW w:type="dxa" w:w="48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ACR for a borrower who belongs to two households (a parent guaranteeing a child's mortgage) and for broker agents who work out of several offices; Opportunity Contact Roles for who is on a deal; </w:t>
            </w:r>
            <w:r>
              <w:rPr>
                <w:rFonts w:ascii="Consolas" w:cs="Consolas" w:eastAsia="Consolas" w:hAnsi="Consolas"/>
                <w:b w:val="false"/>
                <w:bCs w:val="false"/>
                <w:sz w:val="16"/>
                <w:szCs w:val="16"/>
                <w:shd w:fill="EEF0F3" w:color="auto" w:val="clear"/>
              </w:rPr>
              <w:t xml:space="preserve">Loan_Party__c</w:t>
            </w:r>
            <w:r>
              <w:rPr>
                <w:b w:val="false"/>
                <w:bCs w:val="false"/>
                <w:sz w:val="17"/>
                <w:szCs w:val="17"/>
              </w:rPr>
              <w:t xml:space="preserve"> for who is on a boarded loan</w:t>
            </w:r>
          </w:p>
        </w:tc>
      </w:tr>
      <w:tr>
        <w:trPr>
          <w:cantSplit/>
        </w:trPr>
        <w:tc>
          <w:tcPr>
            <w:tcW w:type="dxa" w:w="185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Retail and broker channels together</w:t>
            </w:r>
          </w:p>
        </w:tc>
        <w:tc>
          <w:tcPr>
            <w:tcW w:type="dxa" w:w="340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Business Accounts + Person Accounts in one org · Business Accounts + Contacts</w:t>
            </w:r>
          </w:p>
        </w:tc>
        <w:tc>
          <w:tcPr>
            <w:tcW w:type="dxa" w:w="48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Business Accounts (</w:t>
            </w:r>
            <w:r>
              <w:rPr>
                <w:rFonts w:ascii="Consolas" w:cs="Consolas" w:eastAsia="Consolas" w:hAnsi="Consolas"/>
                <w:b w:val="false"/>
                <w:bCs w:val="false"/>
                <w:sz w:val="16"/>
                <w:szCs w:val="16"/>
                <w:shd w:fill="EEF0F3" w:color="auto" w:val="clear"/>
              </w:rPr>
              <w:t xml:space="preserve">Broker_Firm</w:t>
            </w:r>
            <w:r>
              <w:rPr>
                <w:b w:val="false"/>
                <w:bCs w:val="false"/>
                <w:sz w:val="17"/>
                <w:szCs w:val="17"/>
              </w:rPr>
              <w:t xml:space="preserve">, </w:t>
            </w:r>
            <w:r>
              <w:rPr>
                <w:rFonts w:ascii="Consolas" w:cs="Consolas" w:eastAsia="Consolas" w:hAnsi="Consolas"/>
                <w:b w:val="false"/>
                <w:bCs w:val="false"/>
                <w:sz w:val="16"/>
                <w:szCs w:val="16"/>
                <w:shd w:fill="EEF0F3" w:color="auto" w:val="clear"/>
              </w:rPr>
              <w:t xml:space="preserve">Solicitor_Firm</w:t>
            </w:r>
            <w:r>
              <w:rPr>
                <w:b w:val="false"/>
                <w:bCs w:val="false"/>
                <w:sz w:val="17"/>
                <w:szCs w:val="17"/>
              </w:rPr>
              <w:t xml:space="preserve">) + Contacts in households; the channel is data (</w:t>
            </w:r>
            <w:r>
              <w:rPr>
                <w:rFonts w:ascii="Consolas" w:cs="Consolas" w:eastAsia="Consolas" w:hAnsi="Consolas"/>
                <w:b w:val="false"/>
                <w:bCs w:val="false"/>
                <w:sz w:val="16"/>
                <w:szCs w:val="16"/>
                <w:shd w:fill="EEF0F3" w:color="auto" w:val="clear"/>
              </w:rPr>
              <w:t xml:space="preserve">Channel__c</w:t>
            </w:r>
            <w:r>
              <w:rPr>
                <w:b w:val="false"/>
                <w:bCs w:val="false"/>
                <w:sz w:val="17"/>
                <w:szCs w:val="17"/>
              </w:rPr>
              <w:t xml:space="preserve">), not a separate model</w:t>
            </w:r>
          </w:p>
        </w:tc>
      </w:tr>
      <w:tr>
        <w:trPr>
          <w:cantSplit/>
        </w:trPr>
        <w:tc>
          <w:tcPr>
            <w:tcW w:type="dxa" w:w="185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The application</w:t>
            </w:r>
          </w:p>
        </w:tc>
        <w:tc>
          <w:tcPr>
            <w:tcW w:type="dxa" w:w="340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Custom master-detail children of the deal · FSC's residential loan application objects</w:t>
            </w:r>
          </w:p>
        </w:tc>
        <w:tc>
          <w:tcPr>
            <w:tcW w:type="dxa" w:w="48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Custom children (</w:t>
            </w:r>
            <w:r>
              <w:rPr>
                <w:rFonts w:ascii="Consolas" w:cs="Consolas" w:eastAsia="Consolas" w:hAnsi="Consolas"/>
                <w:b w:val="false"/>
                <w:bCs w:val="false"/>
                <w:sz w:val="16"/>
                <w:szCs w:val="16"/>
                <w:shd w:fill="EEF0F3" w:color="auto" w:val="clear"/>
              </w:rPr>
              <w:t xml:space="preserve">Property__c</w:t>
            </w:r>
            <w:r>
              <w:rPr>
                <w:b w:val="false"/>
                <w:bCs w:val="false"/>
                <w:sz w:val="17"/>
                <w:szCs w:val="17"/>
              </w:rPr>
              <w:t xml:space="preserve">, </w:t>
            </w:r>
            <w:r>
              <w:rPr>
                <w:rFonts w:ascii="Consolas" w:cs="Consolas" w:eastAsia="Consolas" w:hAnsi="Consolas"/>
                <w:b w:val="false"/>
                <w:bCs w:val="false"/>
                <w:sz w:val="16"/>
                <w:szCs w:val="16"/>
                <w:shd w:fill="EEF0F3" w:color="auto" w:val="clear"/>
              </w:rPr>
              <w:t xml:space="preserve">Applicant_Income__c</w:t>
            </w:r>
            <w:r>
              <w:rPr>
                <w:b w:val="false"/>
                <w:bCs w:val="false"/>
                <w:sz w:val="17"/>
                <w:szCs w:val="17"/>
              </w:rPr>
              <w:t xml:space="preserve">, </w:t>
            </w:r>
            <w:r>
              <w:rPr>
                <w:rFonts w:ascii="Consolas" w:cs="Consolas" w:eastAsia="Consolas" w:hAnsi="Consolas"/>
                <w:b w:val="false"/>
                <w:bCs w:val="false"/>
                <w:sz w:val="16"/>
                <w:szCs w:val="16"/>
                <w:shd w:fill="EEF0F3" w:color="auto" w:val="clear"/>
              </w:rPr>
              <w:t xml:space="preserve">Liability__c</w:t>
            </w:r>
            <w:r>
              <w:rPr>
                <w:b w:val="false"/>
                <w:bCs w:val="false"/>
                <w:sz w:val="17"/>
                <w:szCs w:val="17"/>
              </w:rPr>
              <w:t xml:space="preserve">, </w:t>
            </w:r>
            <w:r>
              <w:rPr>
                <w:rFonts w:ascii="Consolas" w:cs="Consolas" w:eastAsia="Consolas" w:hAnsi="Consolas"/>
                <w:b w:val="false"/>
                <w:bCs w:val="false"/>
                <w:sz w:val="16"/>
                <w:szCs w:val="16"/>
                <w:shd w:fill="EEF0F3" w:color="auto" w:val="clear"/>
              </w:rPr>
              <w:t xml:space="preserve">Condition__c</w:t>
            </w:r>
            <w:r>
              <w:rPr>
                <w:b w:val="false"/>
                <w:bCs w:val="false"/>
                <w:sz w:val="17"/>
                <w:szCs w:val="17"/>
              </w:rPr>
              <w:t xml:space="preserve">) shaped like FSC's, so MG8 is a mapping exercise rather than a redesign</w:t>
            </w:r>
          </w:p>
        </w:tc>
      </w:tr>
      <w:tr>
        <w:trPr>
          <w:cantSplit/>
        </w:trPr>
        <w:tc>
          <w:tcPr>
            <w:tcW w:type="dxa" w:w="185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Loans and their history</w:t>
            </w:r>
          </w:p>
        </w:tc>
        <w:tc>
          <w:tcPr>
            <w:tcW w:type="dxa" w:w="340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Child object · big object · external object</w:t>
            </w:r>
          </w:p>
        </w:tc>
        <w:tc>
          <w:tcPr>
            <w:tcW w:type="dxa" w:w="48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The current loan as </w:t>
            </w:r>
            <w:r>
              <w:rPr>
                <w:rFonts w:ascii="Consolas" w:cs="Consolas" w:eastAsia="Consolas" w:hAnsi="Consolas"/>
                <w:b w:val="false"/>
                <w:bCs w:val="false"/>
                <w:sz w:val="16"/>
                <w:szCs w:val="16"/>
                <w:shd w:fill="EEF0F3" w:color="auto" w:val="clear"/>
              </w:rPr>
              <w:t xml:space="preserve">Loan__c</w:t>
            </w:r>
            <w:r>
              <w:rPr>
                <w:b w:val="false"/>
                <w:bCs w:val="false"/>
                <w:sz w:val="17"/>
                <w:szCs w:val="17"/>
              </w:rPr>
              <w:t xml:space="preserve"> (a mirror of servicing); monthly balance history as a big object (DM7); payments older than 24 months as an external object (DM6)</w:t>
            </w:r>
          </w:p>
        </w:tc>
      </w:tr>
    </w:tbl>
    <w:p>
      <w:pPr>
        <w:spacing w:after="120"/>
      </w:pPr>
    </w:p>
    <w:p>
      <w:pPr>
        <w:pStyle w:val="Heading2"/>
      </w:pPr>
      <w:r>
        <w:t xml:space="preserve">DM2 — Relationships and what they cost</w:t>
      </w:r>
    </w:p>
    <w:p>
      <w:pPr>
        <w:spacing w:after="120"/>
      </w:pPr>
      <w:r>
        <w:t xml:space="preserve">Build one of each and record the behaviour in a table:</w:t>
      </w:r>
    </w:p>
    <w:p>
      <w:pPr>
        <w:pStyle w:val="ListParagraph"/>
        <w:numPr>
          <w:ilvl w:val="0"/>
          <w:numId w:val="2"/>
        </w:numPr>
        <w:spacing w:after="60"/>
      </w:pPr>
      <w:r>
        <w:rPr>
          <w:b/>
          <w:bCs/>
        </w:rPr>
        <w:t xml:space="preserve">Master-detail:</w:t>
      </w:r>
      <w:r>
        <w:t xml:space="preserve"> </w:t>
      </w:r>
      <w:r>
        <w:rPr>
          <w:rFonts w:ascii="Consolas" w:cs="Consolas" w:eastAsia="Consolas" w:hAnsi="Consolas"/>
          <w:sz w:val="19"/>
          <w:szCs w:val="19"/>
          <w:shd w:fill="EEF0F3" w:color="auto" w:val="clear"/>
        </w:rPr>
        <w:t xml:space="preserve">Condition__c</w:t>
      </w:r>
      <w:r>
        <w:t xml:space="preserve"> → Opportunity (the </w:t>
      </w:r>
      <w:r>
        <w:rPr>
          <w:rFonts w:ascii="Consolas" w:cs="Consolas" w:eastAsia="Consolas" w:hAnsi="Consolas"/>
          <w:sz w:val="19"/>
          <w:szCs w:val="19"/>
          <w:shd w:fill="EEF0F3" w:color="auto" w:val="clear"/>
        </w:rPr>
        <w:t xml:space="preserve">Outstanding_Conditions__c</w:t>
      </w:r>
      <w:r>
        <w:t xml:space="preserve"> roll-up that gates funding, cascade delete, sharing inherited from the deal, at most two per object).</w:t>
      </w:r>
    </w:p>
    <w:p>
      <w:pPr>
        <w:pStyle w:val="ListParagraph"/>
        <w:numPr>
          <w:ilvl w:val="0"/>
          <w:numId w:val="2"/>
        </w:numPr>
        <w:spacing w:after="60"/>
      </w:pPr>
      <w:r>
        <w:rPr>
          <w:b/>
          <w:bCs/>
        </w:rPr>
        <w:t xml:space="preserve">Lookup:</w:t>
      </w:r>
      <w:r>
        <w:t xml:space="preserve"> </w:t>
      </w:r>
      <w:r>
        <w:rPr>
          <w:rFonts w:ascii="Consolas" w:cs="Consolas" w:eastAsia="Consolas" w:hAnsi="Consolas"/>
          <w:sz w:val="19"/>
          <w:szCs w:val="19"/>
          <w:shd w:fill="EEF0F3" w:color="auto" w:val="clear"/>
        </w:rPr>
        <w:t xml:space="preserve">Loan__c.Primary_Borrower__c</w:t>
      </w:r>
      <w:r>
        <w:t xml:space="preserve">, with "Don't allow deletion".</w:t>
      </w:r>
    </w:p>
    <w:p>
      <w:pPr>
        <w:pStyle w:val="ListParagraph"/>
        <w:numPr>
          <w:ilvl w:val="0"/>
          <w:numId w:val="2"/>
        </w:numPr>
        <w:spacing w:after="60"/>
      </w:pPr>
      <w:r>
        <w:rPr>
          <w:b/>
          <w:bCs/>
        </w:rPr>
        <w:t xml:space="preserve">Junction:</w:t>
      </w:r>
      <w:r>
        <w:t xml:space="preserve"> </w:t>
      </w:r>
      <w:r>
        <w:rPr>
          <w:rFonts w:ascii="Consolas" w:cs="Consolas" w:eastAsia="Consolas" w:hAnsi="Consolas"/>
          <w:sz w:val="19"/>
          <w:szCs w:val="19"/>
          <w:shd w:fill="EEF0F3" w:color="auto" w:val="clear"/>
        </w:rPr>
        <w:t xml:space="preserve">Loan_Party__c</w:t>
      </w:r>
      <w:r>
        <w:t xml:space="preserve">, master-detail to </w:t>
      </w:r>
      <w:r>
        <w:rPr>
          <w:rFonts w:ascii="Consolas" w:cs="Consolas" w:eastAsia="Consolas" w:hAnsi="Consolas"/>
          <w:sz w:val="19"/>
          <w:szCs w:val="19"/>
          <w:shd w:fill="EEF0F3" w:color="auto" w:val="clear"/>
        </w:rPr>
        <w:t xml:space="preserve">Loan__c</w:t>
      </w:r>
      <w:r>
        <w:t xml:space="preserve"> and lookup to Contact. With two master-details, access needs access to both parents; with one master-detail plus a lookup, access follows the master only.</w:t>
      </w:r>
    </w:p>
    <w:p>
      <w:pPr>
        <w:pStyle w:val="ListParagraph"/>
        <w:numPr>
          <w:ilvl w:val="0"/>
          <w:numId w:val="2"/>
        </w:numPr>
        <w:spacing w:after="60"/>
      </w:pPr>
      <w:r>
        <w:rPr>
          <w:b/>
          <w:bCs/>
        </w:rPr>
        <w:t xml:space="preserve">External lookup and indirect lookup:</w:t>
      </w:r>
      <w:r>
        <w:t xml:space="preserve"> DM6.</w:t>
      </w:r>
    </w:p>
    <w:p>
      <w:pPr>
        <w:pStyle w:val="ListParagraph"/>
        <w:numPr>
          <w:ilvl w:val="0"/>
          <w:numId w:val="2"/>
        </w:numPr>
        <w:spacing w:after="60"/>
      </w:pPr>
      <w:r>
        <w:rPr>
          <w:b/>
          <w:bCs/>
        </w:rPr>
        <w:t xml:space="preserve">Hierarchical:</w:t>
      </w:r>
      <w:r>
        <w:t xml:space="preserve"> User only.</w:t>
      </w:r>
    </w:p>
    <w:p>
      <w:pPr>
        <w:spacing w:after="120"/>
      </w:pPr>
      <w:r>
        <w:t xml:space="preserve">For each, note its effect on sharing, reporting (custom report types) and data loading order.</w:t>
      </w:r>
    </w:p>
    <w:p>
      <w:pPr>
        <w:pStyle w:val="Heading2"/>
      </w:pPr>
      <w:r>
        <w:t xml:space="preserve">DM3 — Data dictionary with classification</w:t>
      </w:r>
    </w:p>
    <w:p>
      <w:pPr>
        <w:spacing w:after="120"/>
      </w:pPr>
      <w:r>
        <w:t xml:space="preserve">Set the four classification attributes on every field you created in Projects 03 and 13 (Object Manager → field → </w:t>
      </w:r>
      <w:r>
        <w:rPr>
          <w:b/>
          <w:bCs/>
        </w:rPr>
        <w:t xml:space="preserve">Data Owner, Field Usage, Data Sensitivity Level, Compliance Categorization</w:t>
      </w:r>
      <w:r>
        <w:t xml:space="preserve">). Defaults include sensitivity levels Public, Internal, Confidential, Restricted and Mission Critical, and categories such as PII. Add Canadian values like PIPEDA, Law 25, CASL and FINTRAC if your org lets you edit the picklists ⚠. Export the dictionary from the Tooling API:</w:t>
      </w:r>
    </w:p>
    <w:p>
      <w:pPr>
        <w:pStyle w:val="CodeLabel"/>
        <w:ind w:left="0"/>
      </w:pPr>
      <w:r>
        <w:t xml:space="preserve">bash</w:t>
      </w:r>
    </w:p>
    <w:p>
      <w:pPr>
        <w:pStyle w:val="Code"/>
        <w:shd w:fill="F3F4F6" w:color="auto" w:val="clear"/>
        <w:spacing w:after="0" w:before="40"/>
        <w:ind w:left="0"/>
      </w:pPr>
      <w:r>
        <w:rPr>
          <w:rFonts w:ascii="Consolas" w:cs="Consolas" w:eastAsia="Consolas" w:hAnsi="Consolas"/>
        </w:rPr>
        <w:t xml:space="preserve">for obj in Contact Account Opportunity Property__c Applicant_Income__c Liability__c Condition__c Loan__c Loan_Party__c Approval_Request__c Broker_Submission__c; do</w:t>
      </w:r>
    </w:p>
    <w:p>
      <w:pPr>
        <w:pStyle w:val="Code"/>
        <w:shd w:fill="F3F4F6" w:color="auto" w:val="clear"/>
        <w:spacing w:after="0" w:before="0"/>
        <w:ind w:left="0"/>
      </w:pPr>
      <w:r>
        <w:rPr>
          <w:rFonts w:ascii="Consolas" w:cs="Consolas" w:eastAsia="Consolas" w:hAnsi="Consolas"/>
        </w:rPr>
        <w:t xml:space="preserve">  sf data query --use-tooling-api --result-format csv --target-org apex-dev --query \</w:t>
      </w:r>
    </w:p>
    <w:p>
      <w:pPr>
        <w:pStyle w:val="Code"/>
        <w:shd w:fill="F3F4F6" w:color="auto" w:val="clear"/>
        <w:spacing w:after="0" w:before="0"/>
        <w:ind w:left="0"/>
      </w:pPr>
      <w:r>
        <w:rPr>
          <w:rFonts w:ascii="Consolas" w:cs="Consolas" w:eastAsia="Consolas" w:hAnsi="Consolas"/>
        </w:rPr>
        <w:t xml:space="preserve">    "SELECT QualifiedApiName, Label, DataType, SecurityClassification, ComplianceGroup, BusinessStatus, BusinessOwnerId</w:t>
      </w:r>
    </w:p>
    <w:p>
      <w:pPr>
        <w:pStyle w:val="Code"/>
        <w:shd w:fill="F3F4F6" w:color="auto" w:val="clear"/>
        <w:spacing w:after="0" w:before="0"/>
        <w:ind w:left="0"/>
      </w:pPr>
      <w:r>
        <w:rPr>
          <w:rFonts w:ascii="Consolas" w:cs="Consolas" w:eastAsia="Consolas" w:hAnsi="Consolas"/>
        </w:rPr>
        <w:t xml:space="preserve">     FROM FieldDefinition WHERE EntityDefinition.QualifiedApiName = '$obj'" &gt; "14-data/dictionary/$obj.csv"</w:t>
      </w:r>
    </w:p>
    <w:p>
      <w:pPr>
        <w:pStyle w:val="Code"/>
        <w:shd w:fill="F3F4F6" w:color="auto" w:val="clear"/>
        <w:spacing w:after="160" w:before="0"/>
        <w:ind w:left="0"/>
      </w:pPr>
      <w:r>
        <w:rPr>
          <w:rFonts w:ascii="Consolas" w:cs="Consolas" w:eastAsia="Consolas" w:hAnsi="Consolas"/>
        </w:rPr>
        <w:t xml:space="preserve">done</w:t>
      </w:r>
    </w:p>
    <w:p>
      <w:pPr>
        <w:spacing w:after="120"/>
      </w:pPr>
      <w:r>
        <w:t xml:space="preserve">Turn the CSVs into </w:t>
      </w:r>
      <w:r>
        <w:rPr>
          <w:rFonts w:ascii="Consolas" w:cs="Consolas" w:eastAsia="Consolas" w:hAnsi="Consolas"/>
          <w:sz w:val="19"/>
          <w:szCs w:val="19"/>
          <w:shd w:fill="EEF0F3" w:color="auto" w:val="clear"/>
        </w:rPr>
        <w:t xml:space="preserve">docs/data-dictionary.md</w:t>
      </w:r>
      <w:r>
        <w:t xml:space="preserve"> with a lineage column (source system, transformation, system of record). Classification then drives encryption (Module 15 SH1), Data 360 access, the fields agents may see, and what logs must mask. Incomes, liabilities and credit scores are </w:t>
      </w:r>
      <w:r>
        <w:rPr>
          <w:i/>
          <w:iCs/>
        </w:rPr>
        <w:t xml:space="preserve">Confidential</w:t>
      </w:r>
      <w:r>
        <w:t xml:space="preserve">; </w:t>
      </w:r>
      <w:r>
        <w:rPr>
          <w:rFonts w:ascii="Consolas" w:cs="Consolas" w:eastAsia="Consolas" w:hAnsi="Consolas"/>
          <w:sz w:val="19"/>
          <w:szCs w:val="19"/>
          <w:shd w:fill="EEF0F3" w:color="auto" w:val="clear"/>
        </w:rPr>
        <w:t xml:space="preserve">SIN__c</w:t>
      </w:r>
      <w:r>
        <w:t xml:space="preserve">, dates of birth and bureau references are </w:t>
      </w:r>
      <w:r>
        <w:rPr>
          <w:i/>
          <w:iCs/>
        </w:rPr>
        <w:t xml:space="preserve">Restricted</w:t>
      </w:r>
      <w:r>
        <w:t xml:space="preserve">.</w:t>
      </w:r>
    </w:p>
    <w:p>
      <w:pPr>
        <w:pStyle w:val="Heading2"/>
      </w:pPr>
      <w:r>
        <w:t xml:space="preserve">DM4 — Data skew</w:t>
      </w:r>
    </w:p>
    <w:p>
      <w:pPr>
        <w:spacing w:after="120"/>
      </w:pPr>
      <w:r>
        <w:t xml:space="preserve">In the scratch org:</w:t>
      </w:r>
    </w:p>
    <w:p>
      <w:pPr>
        <w:pStyle w:val="ListParagraph"/>
        <w:numPr>
          <w:ilvl w:val="0"/>
          <w:numId w:val="3"/>
        </w:numPr>
        <w:spacing w:after="60"/>
      </w:pPr>
      <w:r>
        <w:rPr>
          <w:b/>
          <w:bCs/>
        </w:rPr>
        <w:t xml:space="preserve">Account data skew:</w:t>
      </w:r>
      <w:r>
        <w:t xml:space="preserve"> load 12,000 Contacts under one "Unassigned Household" and run parallel updates (Bulk API 2.0 processes chunks in parallel). You'll likely see </w:t>
      </w:r>
      <w:r>
        <w:rPr>
          <w:rFonts w:ascii="Consolas" w:cs="Consolas" w:eastAsia="Consolas" w:hAnsi="Consolas"/>
          <w:sz w:val="19"/>
          <w:szCs w:val="19"/>
          <w:shd w:fill="EEF0F3" w:color="auto" w:val="clear"/>
        </w:rPr>
        <w:t xml:space="preserve">UNABLE_TO_LOCK_ROW</w:t>
      </w:r>
      <w:r>
        <w:t xml:space="preserve"> failures, because every child update briefly locks the parent. Fix it by spreading children across real parents and sorting child files by parent ID, and never create catch-all parents.</w:t>
      </w:r>
    </w:p>
    <w:p>
      <w:pPr>
        <w:pStyle w:val="ListParagraph"/>
        <w:numPr>
          <w:ilvl w:val="0"/>
          <w:numId w:val="3"/>
        </w:numPr>
        <w:spacing w:after="60"/>
      </w:pPr>
      <w:r>
        <w:rPr>
          <w:b/>
          <w:bCs/>
        </w:rPr>
        <w:t xml:space="preserve">Ownership skew:</w:t>
      </w:r>
      <w:r>
        <w:t xml:space="preserve"> assign 16,000 </w:t>
      </w:r>
      <w:r>
        <w:rPr>
          <w:rFonts w:ascii="Consolas" w:cs="Consolas" w:eastAsia="Consolas" w:hAnsi="Consolas"/>
          <w:sz w:val="19"/>
          <w:szCs w:val="19"/>
          <w:shd w:fill="EEF0F3" w:color="auto" w:val="clear"/>
        </w:rPr>
        <w:t xml:space="preserve">Loan__c</w:t>
      </w:r>
      <w:r>
        <w:t xml:space="preserve"> records to the integration user, which is what a naive nightly mirror does. Note the cost of an ownership change (sharing removed from the old owner, their role hierarchy and sharing-rule recipients). Salesforce's LDV guidance gives two mitigations: give each loan its real owner (the deal's specialist, as Project 13's saga does), or, if skew is unavoidable, give the skewed owner </w:t>
      </w:r>
      <w:r>
        <w:rPr>
          <w:b/>
          <w:bCs/>
        </w:rPr>
        <w:t xml:space="preserve">no role</w:t>
      </w:r>
      <w:r>
        <w:t xml:space="preserve"> so their records sit outside role-hierarchy sharing.</w:t>
      </w:r>
    </w:p>
    <w:p>
      <w:pPr>
        <w:pStyle w:val="ListParagraph"/>
        <w:numPr>
          <w:ilvl w:val="0"/>
          <w:numId w:val="3"/>
        </w:numPr>
        <w:spacing w:after="60"/>
      </w:pPr>
      <w:r>
        <w:rPr>
          <w:b/>
          <w:bCs/>
        </w:rPr>
        <w:t xml:space="preserve">Lookup skew:</w:t>
      </w:r>
      <w:r>
        <w:t xml:space="preserve"> many records pointing at one lookup target. In mortgages this is real: one large brokerage can originate a third of all broker deals, all with the same </w:t>
      </w:r>
      <w:r>
        <w:rPr>
          <w:rFonts w:ascii="Consolas" w:cs="Consolas" w:eastAsia="Consolas" w:hAnsi="Consolas"/>
          <w:sz w:val="19"/>
          <w:szCs w:val="19"/>
          <w:shd w:fill="EEF0F3" w:color="auto" w:val="clear"/>
        </w:rPr>
        <w:t xml:space="preserve">Broker__c</w:t>
      </w:r>
      <w:r>
        <w:t xml:space="preserve">, and a few law firms close most deals (</w:t>
      </w:r>
      <w:r>
        <w:rPr>
          <w:rFonts w:ascii="Consolas" w:cs="Consolas" w:eastAsia="Consolas" w:hAnsi="Consolas"/>
          <w:sz w:val="19"/>
          <w:szCs w:val="19"/>
          <w:shd w:fill="EEF0F3" w:color="auto" w:val="clear"/>
        </w:rPr>
        <w:t xml:space="preserve">Solicitor__c</w:t>
      </w:r>
      <w:r>
        <w:t xml:space="preserve">). Note where it bites: high-concurrency inserts (the broker inbox processor in Project 13 B9) plus automation.</w:t>
      </w:r>
    </w:p>
    <w:p>
      <w:pPr>
        <w:spacing w:after="120"/>
      </w:pPr>
      <w:r>
        <w:t xml:space="preserve">Record the rule of thumb: keep any parent under 10,000 children.</w:t>
      </w:r>
    </w:p>
    <w:p>
      <w:pPr>
        <w:pStyle w:val="Heading2"/>
      </w:pPr>
      <w:r>
        <w:t xml:space="preserve">DM7 — Big object for loan balance history</w:t>
      </w:r>
    </w:p>
    <w:p>
      <w:pPr>
        <w:spacing w:after="120"/>
      </w:pPr>
      <w:r>
        <w:t xml:space="preserve">Monthly balance snapshots for the life of each loan would bury </w:t>
      </w:r>
      <w:r>
        <w:rPr>
          <w:rFonts w:ascii="Consolas" w:cs="Consolas" w:eastAsia="Consolas" w:hAnsi="Consolas"/>
          <w:sz w:val="19"/>
          <w:szCs w:val="19"/>
          <w:shd w:fill="EEF0F3" w:color="auto" w:val="clear"/>
        </w:rPr>
        <w:t xml:space="preserve">Loan__c</w:t>
      </w:r>
      <w:r>
        <w:t xml:space="preserve"> (16,000 loans × 300 months is 4.8 million rows). Define a custom big object (Metadata API format — </w:t>
      </w:r>
      <w:r>
        <w:rPr>
          <w:rFonts w:ascii="Consolas" w:cs="Consolas" w:eastAsia="Consolas" w:hAnsi="Consolas"/>
          <w:sz w:val="19"/>
          <w:szCs w:val="19"/>
          <w:shd w:fill="EEF0F3" w:color="auto" w:val="clear"/>
        </w:rPr>
        <w:t xml:space="preserve">mdapi/objects/Loan_Balance_Snapshot__b.object</w:t>
      </w:r>
      <w:r>
        <w:t xml:space="preserve">):</w:t>
      </w:r>
    </w:p>
    <w:p>
      <w:pPr>
        <w:pStyle w:val="CodeLabel"/>
        <w:ind w:left="0"/>
      </w:pPr>
      <w:r>
        <w:t xml:space="preserve">xml</w:t>
      </w:r>
    </w:p>
    <w:p>
      <w:pPr>
        <w:pStyle w:val="Code"/>
        <w:shd w:fill="F3F4F6" w:color="auto" w:val="clear"/>
        <w:spacing w:after="0" w:before="40"/>
        <w:ind w:left="0"/>
      </w:pPr>
      <w:r>
        <w:rPr>
          <w:rFonts w:ascii="Consolas" w:cs="Consolas" w:eastAsia="Consolas" w:hAnsi="Consolas"/>
        </w:rPr>
        <w:t xml:space="preserve">&lt;?xml version="1.0" encoding="UTF-8"?&gt;</w:t>
      </w:r>
    </w:p>
    <w:p>
      <w:pPr>
        <w:pStyle w:val="Code"/>
        <w:shd w:fill="F3F4F6" w:color="auto" w:val="clear"/>
        <w:spacing w:after="0" w:before="0"/>
        <w:ind w:left="0"/>
      </w:pPr>
      <w:r>
        <w:rPr>
          <w:rFonts w:ascii="Consolas" w:cs="Consolas" w:eastAsia="Consolas" w:hAnsi="Consolas"/>
        </w:rPr>
        <w:t xml:space="preserve">&lt;CustomObject xmlns="http://soap.sforce.com/2006/04/metadata"&gt;</w:t>
      </w:r>
    </w:p>
    <w:p>
      <w:pPr>
        <w:pStyle w:val="Code"/>
        <w:shd w:fill="F3F4F6" w:color="auto" w:val="clear"/>
        <w:spacing w:after="0" w:before="0"/>
        <w:ind w:left="0"/>
      </w:pPr>
      <w:r>
        <w:rPr>
          <w:rFonts w:ascii="Consolas" w:cs="Consolas" w:eastAsia="Consolas" w:hAnsi="Consolas"/>
        </w:rPr>
        <w:t xml:space="preserve">    &lt;deploymentStatus&gt;Deployed&lt;/deploymentStatus&gt;</w:t>
      </w:r>
    </w:p>
    <w:p>
      <w:pPr>
        <w:pStyle w:val="Code"/>
        <w:shd w:fill="F3F4F6" w:color="auto" w:val="clear"/>
        <w:spacing w:after="0" w:before="0"/>
        <w:ind w:left="0"/>
      </w:pPr>
      <w:r>
        <w:rPr>
          <w:rFonts w:ascii="Consolas" w:cs="Consolas" w:eastAsia="Consolas" w:hAnsi="Consolas"/>
        </w:rPr>
        <w:t xml:space="preserve">    &lt;fields&gt;</w:t>
      </w:r>
    </w:p>
    <w:p>
      <w:pPr>
        <w:pStyle w:val="Code"/>
        <w:shd w:fill="F3F4F6" w:color="auto" w:val="clear"/>
        <w:spacing w:after="0" w:before="0"/>
        <w:ind w:left="0"/>
      </w:pPr>
      <w:r>
        <w:rPr>
          <w:rFonts w:ascii="Consolas" w:cs="Consolas" w:eastAsia="Consolas" w:hAnsi="Consolas"/>
        </w:rPr>
        <w:t xml:space="preserve">        &lt;fullName&gt;Core_Loan_Id__c&lt;/fullName&gt;</w:t>
      </w:r>
    </w:p>
    <w:p>
      <w:pPr>
        <w:pStyle w:val="Code"/>
        <w:shd w:fill="F3F4F6" w:color="auto" w:val="clear"/>
        <w:spacing w:after="0" w:before="0"/>
        <w:ind w:left="0"/>
      </w:pPr>
      <w:r>
        <w:rPr>
          <w:rFonts w:ascii="Consolas" w:cs="Consolas" w:eastAsia="Consolas" w:hAnsi="Consolas"/>
        </w:rPr>
        <w:t xml:space="preserve">        &lt;label&gt;Core Loan Id&lt;/label&gt;</w:t>
      </w:r>
    </w:p>
    <w:p>
      <w:pPr>
        <w:pStyle w:val="Code"/>
        <w:shd w:fill="F3F4F6" w:color="auto" w:val="clear"/>
        <w:spacing w:after="0" w:before="0"/>
        <w:ind w:left="0"/>
      </w:pPr>
      <w:r>
        <w:rPr>
          <w:rFonts w:ascii="Consolas" w:cs="Consolas" w:eastAsia="Consolas" w:hAnsi="Consolas"/>
        </w:rPr>
        <w:t xml:space="preserve">        &lt;length&gt;20&lt;/length&gt;</w:t>
      </w:r>
    </w:p>
    <w:p>
      <w:pPr>
        <w:pStyle w:val="Code"/>
        <w:shd w:fill="F3F4F6" w:color="auto" w:val="clear"/>
        <w:spacing w:after="0" w:before="0"/>
        <w:ind w:left="0"/>
      </w:pPr>
      <w:r>
        <w:rPr>
          <w:rFonts w:ascii="Consolas" w:cs="Consolas" w:eastAsia="Consolas" w:hAnsi="Consolas"/>
        </w:rPr>
        <w:t xml:space="preserve">        &lt;required&gt;true&lt;/required&gt;</w:t>
      </w:r>
    </w:p>
    <w:p>
      <w:pPr>
        <w:pStyle w:val="Code"/>
        <w:shd w:fill="F3F4F6" w:color="auto" w:val="clear"/>
        <w:spacing w:after="0" w:before="0"/>
        <w:ind w:left="0"/>
      </w:pPr>
      <w:r>
        <w:rPr>
          <w:rFonts w:ascii="Consolas" w:cs="Consolas" w:eastAsia="Consolas" w:hAnsi="Consolas"/>
        </w:rPr>
        <w:t xml:space="preserve">        &lt;type&gt;Text&lt;/type&gt;</w:t>
      </w:r>
    </w:p>
    <w:p>
      <w:pPr>
        <w:pStyle w:val="Code"/>
        <w:shd w:fill="F3F4F6" w:color="auto" w:val="clear"/>
        <w:spacing w:after="0" w:before="0"/>
        <w:ind w:left="0"/>
      </w:pPr>
      <w:r>
        <w:rPr>
          <w:rFonts w:ascii="Consolas" w:cs="Consolas" w:eastAsia="Consolas" w:hAnsi="Consolas"/>
        </w:rPr>
        <w:t xml:space="preserve">        &lt;unique&gt;false&lt;/unique&gt;</w:t>
      </w:r>
    </w:p>
    <w:p>
      <w:pPr>
        <w:pStyle w:val="Code"/>
        <w:shd w:fill="F3F4F6" w:color="auto" w:val="clear"/>
        <w:spacing w:after="0" w:before="0"/>
        <w:ind w:left="0"/>
      </w:pPr>
      <w:r>
        <w:rPr>
          <w:rFonts w:ascii="Consolas" w:cs="Consolas" w:eastAsia="Consolas" w:hAnsi="Consolas"/>
        </w:rPr>
        <w:t xml:space="preserve">    &lt;/fields&gt;</w:t>
      </w:r>
    </w:p>
    <w:p>
      <w:pPr>
        <w:pStyle w:val="Code"/>
        <w:shd w:fill="F3F4F6" w:color="auto" w:val="clear"/>
        <w:spacing w:after="0" w:before="0"/>
        <w:ind w:left="0"/>
      </w:pPr>
      <w:r>
        <w:rPr>
          <w:rFonts w:ascii="Consolas" w:cs="Consolas" w:eastAsia="Consolas" w:hAnsi="Consolas"/>
        </w:rPr>
        <w:t xml:space="preserve">    &lt;fields&gt;</w:t>
      </w:r>
    </w:p>
    <w:p>
      <w:pPr>
        <w:pStyle w:val="Code"/>
        <w:shd w:fill="F3F4F6" w:color="auto" w:val="clear"/>
        <w:spacing w:after="0" w:before="0"/>
        <w:ind w:left="0"/>
      </w:pPr>
      <w:r>
        <w:rPr>
          <w:rFonts w:ascii="Consolas" w:cs="Consolas" w:eastAsia="Consolas" w:hAnsi="Consolas"/>
        </w:rPr>
        <w:t xml:space="preserve">        &lt;fullName&gt;Snapshot_Date__c&lt;/fullName&gt;</w:t>
      </w:r>
    </w:p>
    <w:p>
      <w:pPr>
        <w:pStyle w:val="Code"/>
        <w:shd w:fill="F3F4F6" w:color="auto" w:val="clear"/>
        <w:spacing w:after="0" w:before="0"/>
        <w:ind w:left="0"/>
      </w:pPr>
      <w:r>
        <w:rPr>
          <w:rFonts w:ascii="Consolas" w:cs="Consolas" w:eastAsia="Consolas" w:hAnsi="Consolas"/>
        </w:rPr>
        <w:t xml:space="preserve">        &lt;label&gt;Snapshot Date&lt;/label&gt;</w:t>
      </w:r>
    </w:p>
    <w:p>
      <w:pPr>
        <w:pStyle w:val="Code"/>
        <w:shd w:fill="F3F4F6" w:color="auto" w:val="clear"/>
        <w:spacing w:after="0" w:before="0"/>
        <w:ind w:left="0"/>
      </w:pPr>
      <w:r>
        <w:rPr>
          <w:rFonts w:ascii="Consolas" w:cs="Consolas" w:eastAsia="Consolas" w:hAnsi="Consolas"/>
        </w:rPr>
        <w:t xml:space="preserve">        &lt;required&gt;true&lt;/required&gt;</w:t>
      </w:r>
    </w:p>
    <w:p>
      <w:pPr>
        <w:pStyle w:val="Code"/>
        <w:shd w:fill="F3F4F6" w:color="auto" w:val="clear"/>
        <w:spacing w:after="0" w:before="0"/>
        <w:ind w:left="0"/>
      </w:pPr>
      <w:r>
        <w:rPr>
          <w:rFonts w:ascii="Consolas" w:cs="Consolas" w:eastAsia="Consolas" w:hAnsi="Consolas"/>
        </w:rPr>
        <w:t xml:space="preserve">        &lt;type&gt;DateTime&lt;/type&gt;</w:t>
      </w:r>
    </w:p>
    <w:p>
      <w:pPr>
        <w:pStyle w:val="Code"/>
        <w:shd w:fill="F3F4F6" w:color="auto" w:val="clear"/>
        <w:spacing w:after="0" w:before="0"/>
        <w:ind w:left="0"/>
      </w:pPr>
      <w:r>
        <w:rPr>
          <w:rFonts w:ascii="Consolas" w:cs="Consolas" w:eastAsia="Consolas" w:hAnsi="Consolas"/>
        </w:rPr>
        <w:t xml:space="preserve">    &lt;/fields&gt;</w:t>
      </w:r>
    </w:p>
    <w:p>
      <w:pPr>
        <w:pStyle w:val="Code"/>
        <w:shd w:fill="F3F4F6" w:color="auto" w:val="clear"/>
        <w:spacing w:after="0" w:before="0"/>
        <w:ind w:left="0"/>
      </w:pPr>
      <w:r>
        <w:rPr>
          <w:rFonts w:ascii="Consolas" w:cs="Consolas" w:eastAsia="Consolas" w:hAnsi="Consolas"/>
        </w:rPr>
        <w:t xml:space="preserve">    &lt;fields&gt;</w:t>
      </w:r>
    </w:p>
    <w:p>
      <w:pPr>
        <w:pStyle w:val="Code"/>
        <w:shd w:fill="F3F4F6" w:color="auto" w:val="clear"/>
        <w:spacing w:after="0" w:before="0"/>
        <w:ind w:left="0"/>
      </w:pPr>
      <w:r>
        <w:rPr>
          <w:rFonts w:ascii="Consolas" w:cs="Consolas" w:eastAsia="Consolas" w:hAnsi="Consolas"/>
        </w:rPr>
        <w:t xml:space="preserve">        &lt;fullName&gt;Principal_Balance__c&lt;/fullName&gt;</w:t>
      </w:r>
    </w:p>
    <w:p>
      <w:pPr>
        <w:pStyle w:val="Code"/>
        <w:shd w:fill="F3F4F6" w:color="auto" w:val="clear"/>
        <w:spacing w:after="0" w:before="0"/>
        <w:ind w:left="0"/>
      </w:pPr>
      <w:r>
        <w:rPr>
          <w:rFonts w:ascii="Consolas" w:cs="Consolas" w:eastAsia="Consolas" w:hAnsi="Consolas"/>
        </w:rPr>
        <w:t xml:space="preserve">        &lt;label&gt;Principal Balance&lt;/label&gt;</w:t>
      </w:r>
    </w:p>
    <w:p>
      <w:pPr>
        <w:pStyle w:val="Code"/>
        <w:shd w:fill="F3F4F6" w:color="auto" w:val="clear"/>
        <w:spacing w:after="0" w:before="0"/>
        <w:ind w:left="0"/>
      </w:pPr>
      <w:r>
        <w:rPr>
          <w:rFonts w:ascii="Consolas" w:cs="Consolas" w:eastAsia="Consolas" w:hAnsi="Consolas"/>
        </w:rPr>
        <w:t xml:space="preserve">        &lt;precision&gt;16&lt;/precision&gt;</w:t>
      </w:r>
    </w:p>
    <w:p>
      <w:pPr>
        <w:pStyle w:val="Code"/>
        <w:shd w:fill="F3F4F6" w:color="auto" w:val="clear"/>
        <w:spacing w:after="0" w:before="0"/>
        <w:ind w:left="0"/>
      </w:pPr>
      <w:r>
        <w:rPr>
          <w:rFonts w:ascii="Consolas" w:cs="Consolas" w:eastAsia="Consolas" w:hAnsi="Consolas"/>
        </w:rPr>
        <w:t xml:space="preserve">        &lt;scale&gt;2&lt;/scale&gt;</w:t>
      </w:r>
    </w:p>
    <w:p>
      <w:pPr>
        <w:pStyle w:val="Code"/>
        <w:shd w:fill="F3F4F6" w:color="auto" w:val="clear"/>
        <w:spacing w:after="0" w:before="0"/>
        <w:ind w:left="0"/>
      </w:pPr>
      <w:r>
        <w:rPr>
          <w:rFonts w:ascii="Consolas" w:cs="Consolas" w:eastAsia="Consolas" w:hAnsi="Consolas"/>
        </w:rPr>
        <w:t xml:space="preserve">        &lt;required&gt;false&lt;/required&gt;</w:t>
      </w:r>
    </w:p>
    <w:p>
      <w:pPr>
        <w:pStyle w:val="Code"/>
        <w:shd w:fill="F3F4F6" w:color="auto" w:val="clear"/>
        <w:spacing w:after="0" w:before="0"/>
        <w:ind w:left="0"/>
      </w:pPr>
      <w:r>
        <w:rPr>
          <w:rFonts w:ascii="Consolas" w:cs="Consolas" w:eastAsia="Consolas" w:hAnsi="Consolas"/>
        </w:rPr>
        <w:t xml:space="preserve">        &lt;type&gt;Number&lt;/type&gt;</w:t>
      </w:r>
    </w:p>
    <w:p>
      <w:pPr>
        <w:pStyle w:val="Code"/>
        <w:shd w:fill="F3F4F6" w:color="auto" w:val="clear"/>
        <w:spacing w:after="0" w:before="0"/>
        <w:ind w:left="0"/>
      </w:pPr>
      <w:r>
        <w:rPr>
          <w:rFonts w:ascii="Consolas" w:cs="Consolas" w:eastAsia="Consolas" w:hAnsi="Consolas"/>
        </w:rPr>
        <w:t xml:space="preserve">        &lt;unique&gt;false&lt;/unique&gt;</w:t>
      </w:r>
    </w:p>
    <w:p>
      <w:pPr>
        <w:pStyle w:val="Code"/>
        <w:shd w:fill="F3F4F6" w:color="auto" w:val="clear"/>
        <w:spacing w:after="0" w:before="0"/>
        <w:ind w:left="0"/>
      </w:pPr>
      <w:r>
        <w:rPr>
          <w:rFonts w:ascii="Consolas" w:cs="Consolas" w:eastAsia="Consolas" w:hAnsi="Consolas"/>
        </w:rPr>
        <w:t xml:space="preserve">    &lt;/fields&gt;</w:t>
      </w:r>
    </w:p>
    <w:p>
      <w:pPr>
        <w:pStyle w:val="Code"/>
        <w:shd w:fill="F3F4F6" w:color="auto" w:val="clear"/>
        <w:spacing w:after="0" w:before="0"/>
        <w:ind w:left="0"/>
      </w:pPr>
      <w:r>
        <w:rPr>
          <w:rFonts w:ascii="Consolas" w:cs="Consolas" w:eastAsia="Consolas" w:hAnsi="Consolas"/>
        </w:rPr>
        <w:t xml:space="preserve">    &lt;fields&gt;</w:t>
      </w:r>
    </w:p>
    <w:p>
      <w:pPr>
        <w:pStyle w:val="Code"/>
        <w:shd w:fill="F3F4F6" w:color="auto" w:val="clear"/>
        <w:spacing w:after="0" w:before="0"/>
        <w:ind w:left="0"/>
      </w:pPr>
      <w:r>
        <w:rPr>
          <w:rFonts w:ascii="Consolas" w:cs="Consolas" w:eastAsia="Consolas" w:hAnsi="Consolas"/>
        </w:rPr>
        <w:t xml:space="preserve">        &lt;fullName&gt;Arrears_Days__c&lt;/fullName&gt;</w:t>
      </w:r>
    </w:p>
    <w:p>
      <w:pPr>
        <w:pStyle w:val="Code"/>
        <w:shd w:fill="F3F4F6" w:color="auto" w:val="clear"/>
        <w:spacing w:after="0" w:before="0"/>
        <w:ind w:left="0"/>
      </w:pPr>
      <w:r>
        <w:rPr>
          <w:rFonts w:ascii="Consolas" w:cs="Consolas" w:eastAsia="Consolas" w:hAnsi="Consolas"/>
        </w:rPr>
        <w:t xml:space="preserve">        &lt;label&gt;Arrears Days&lt;/label&gt;</w:t>
      </w:r>
    </w:p>
    <w:p>
      <w:pPr>
        <w:pStyle w:val="Code"/>
        <w:shd w:fill="F3F4F6" w:color="auto" w:val="clear"/>
        <w:spacing w:after="0" w:before="0"/>
        <w:ind w:left="0"/>
      </w:pPr>
      <w:r>
        <w:rPr>
          <w:rFonts w:ascii="Consolas" w:cs="Consolas" w:eastAsia="Consolas" w:hAnsi="Consolas"/>
        </w:rPr>
        <w:t xml:space="preserve">        &lt;precision&gt;4&lt;/precision&gt;</w:t>
      </w:r>
    </w:p>
    <w:p>
      <w:pPr>
        <w:pStyle w:val="Code"/>
        <w:shd w:fill="F3F4F6" w:color="auto" w:val="clear"/>
        <w:spacing w:after="0" w:before="0"/>
        <w:ind w:left="0"/>
      </w:pPr>
      <w:r>
        <w:rPr>
          <w:rFonts w:ascii="Consolas" w:cs="Consolas" w:eastAsia="Consolas" w:hAnsi="Consolas"/>
        </w:rPr>
        <w:t xml:space="preserve">        &lt;scale&gt;0&lt;/scale&gt;</w:t>
      </w:r>
    </w:p>
    <w:p>
      <w:pPr>
        <w:pStyle w:val="Code"/>
        <w:shd w:fill="F3F4F6" w:color="auto" w:val="clear"/>
        <w:spacing w:after="0" w:before="0"/>
        <w:ind w:left="0"/>
      </w:pPr>
      <w:r>
        <w:rPr>
          <w:rFonts w:ascii="Consolas" w:cs="Consolas" w:eastAsia="Consolas" w:hAnsi="Consolas"/>
        </w:rPr>
        <w:t xml:space="preserve">        &lt;required&gt;false&lt;/required&gt;</w:t>
      </w:r>
    </w:p>
    <w:p>
      <w:pPr>
        <w:pStyle w:val="Code"/>
        <w:shd w:fill="F3F4F6" w:color="auto" w:val="clear"/>
        <w:spacing w:after="0" w:before="0"/>
        <w:ind w:left="0"/>
      </w:pPr>
      <w:r>
        <w:rPr>
          <w:rFonts w:ascii="Consolas" w:cs="Consolas" w:eastAsia="Consolas" w:hAnsi="Consolas"/>
        </w:rPr>
        <w:t xml:space="preserve">        &lt;type&gt;Number&lt;/type&gt;</w:t>
      </w:r>
    </w:p>
    <w:p>
      <w:pPr>
        <w:pStyle w:val="Code"/>
        <w:shd w:fill="F3F4F6" w:color="auto" w:val="clear"/>
        <w:spacing w:after="0" w:before="0"/>
        <w:ind w:left="0"/>
      </w:pPr>
      <w:r>
        <w:rPr>
          <w:rFonts w:ascii="Consolas" w:cs="Consolas" w:eastAsia="Consolas" w:hAnsi="Consolas"/>
        </w:rPr>
        <w:t xml:space="preserve">        &lt;unique&gt;false&lt;/unique&gt;</w:t>
      </w:r>
    </w:p>
    <w:p>
      <w:pPr>
        <w:pStyle w:val="Code"/>
        <w:shd w:fill="F3F4F6" w:color="auto" w:val="clear"/>
        <w:spacing w:after="0" w:before="0"/>
        <w:ind w:left="0"/>
      </w:pPr>
      <w:r>
        <w:rPr>
          <w:rFonts w:ascii="Consolas" w:cs="Consolas" w:eastAsia="Consolas" w:hAnsi="Consolas"/>
        </w:rPr>
        <w:t xml:space="preserve">    &lt;/fields&gt;</w:t>
      </w:r>
    </w:p>
    <w:p>
      <w:pPr>
        <w:pStyle w:val="Code"/>
        <w:shd w:fill="F3F4F6" w:color="auto" w:val="clear"/>
        <w:spacing w:after="0" w:before="0"/>
        <w:ind w:left="0"/>
      </w:pPr>
      <w:r>
        <w:rPr>
          <w:rFonts w:ascii="Consolas" w:cs="Consolas" w:eastAsia="Consolas" w:hAnsi="Consolas"/>
        </w:rPr>
        <w:t xml:space="preserve">    &lt;indexes&gt;</w:t>
      </w:r>
    </w:p>
    <w:p>
      <w:pPr>
        <w:pStyle w:val="Code"/>
        <w:shd w:fill="F3F4F6" w:color="auto" w:val="clear"/>
        <w:spacing w:after="0" w:before="0"/>
        <w:ind w:left="0"/>
      </w:pPr>
      <w:r>
        <w:rPr>
          <w:rFonts w:ascii="Consolas" w:cs="Consolas" w:eastAsia="Consolas" w:hAnsi="Consolas"/>
        </w:rPr>
        <w:t xml:space="preserve">        &lt;fullName&gt;LoanBalanceSnapshotIndex&lt;/fullName&gt;</w:t>
      </w:r>
    </w:p>
    <w:p>
      <w:pPr>
        <w:pStyle w:val="Code"/>
        <w:shd w:fill="F3F4F6" w:color="auto" w:val="clear"/>
        <w:spacing w:after="0" w:before="0"/>
        <w:ind w:left="0"/>
      </w:pPr>
      <w:r>
        <w:rPr>
          <w:rFonts w:ascii="Consolas" w:cs="Consolas" w:eastAsia="Consolas" w:hAnsi="Consolas"/>
        </w:rPr>
        <w:t xml:space="preserve">        &lt;label&gt;Loan Balance Snapshot Index&lt;/label&gt;</w:t>
      </w:r>
    </w:p>
    <w:p>
      <w:pPr>
        <w:pStyle w:val="Code"/>
        <w:shd w:fill="F3F4F6" w:color="auto" w:val="clear"/>
        <w:spacing w:after="0" w:before="0"/>
        <w:ind w:left="0"/>
      </w:pPr>
      <w:r>
        <w:rPr>
          <w:rFonts w:ascii="Consolas" w:cs="Consolas" w:eastAsia="Consolas" w:hAnsi="Consolas"/>
        </w:rPr>
        <w:t xml:space="preserve">        &lt;fields&gt;</w:t>
      </w:r>
    </w:p>
    <w:p>
      <w:pPr>
        <w:pStyle w:val="Code"/>
        <w:shd w:fill="F3F4F6" w:color="auto" w:val="clear"/>
        <w:spacing w:after="0" w:before="0"/>
        <w:ind w:left="0"/>
      </w:pPr>
      <w:r>
        <w:rPr>
          <w:rFonts w:ascii="Consolas" w:cs="Consolas" w:eastAsia="Consolas" w:hAnsi="Consolas"/>
        </w:rPr>
        <w:t xml:space="preserve">            &lt;name&gt;Core_Loan_Id__c&lt;/name&gt;</w:t>
      </w:r>
    </w:p>
    <w:p>
      <w:pPr>
        <w:pStyle w:val="Code"/>
        <w:shd w:fill="F3F4F6" w:color="auto" w:val="clear"/>
        <w:spacing w:after="0" w:before="0"/>
        <w:ind w:left="0"/>
      </w:pPr>
      <w:r>
        <w:rPr>
          <w:rFonts w:ascii="Consolas" w:cs="Consolas" w:eastAsia="Consolas" w:hAnsi="Consolas"/>
        </w:rPr>
        <w:t xml:space="preserve">            &lt;sortDirection&gt;ASC&lt;/sortDirection&gt;</w:t>
      </w:r>
    </w:p>
    <w:p>
      <w:pPr>
        <w:pStyle w:val="Code"/>
        <w:shd w:fill="F3F4F6" w:color="auto" w:val="clear"/>
        <w:spacing w:after="0" w:before="0"/>
        <w:ind w:left="0"/>
      </w:pPr>
      <w:r>
        <w:rPr>
          <w:rFonts w:ascii="Consolas" w:cs="Consolas" w:eastAsia="Consolas" w:hAnsi="Consolas"/>
        </w:rPr>
        <w:t xml:space="preserve">        &lt;/fields&gt;</w:t>
      </w:r>
    </w:p>
    <w:p>
      <w:pPr>
        <w:pStyle w:val="Code"/>
        <w:shd w:fill="F3F4F6" w:color="auto" w:val="clear"/>
        <w:spacing w:after="0" w:before="0"/>
        <w:ind w:left="0"/>
      </w:pPr>
      <w:r>
        <w:rPr>
          <w:rFonts w:ascii="Consolas" w:cs="Consolas" w:eastAsia="Consolas" w:hAnsi="Consolas"/>
        </w:rPr>
        <w:t xml:space="preserve">        &lt;fields&gt;</w:t>
      </w:r>
    </w:p>
    <w:p>
      <w:pPr>
        <w:pStyle w:val="Code"/>
        <w:shd w:fill="F3F4F6" w:color="auto" w:val="clear"/>
        <w:spacing w:after="0" w:before="0"/>
        <w:ind w:left="0"/>
      </w:pPr>
      <w:r>
        <w:rPr>
          <w:rFonts w:ascii="Consolas" w:cs="Consolas" w:eastAsia="Consolas" w:hAnsi="Consolas"/>
        </w:rPr>
        <w:t xml:space="preserve">            &lt;name&gt;Snapshot_Date__c&lt;/name&gt;</w:t>
      </w:r>
    </w:p>
    <w:p>
      <w:pPr>
        <w:pStyle w:val="Code"/>
        <w:shd w:fill="F3F4F6" w:color="auto" w:val="clear"/>
        <w:spacing w:after="0" w:before="0"/>
        <w:ind w:left="0"/>
      </w:pPr>
      <w:r>
        <w:rPr>
          <w:rFonts w:ascii="Consolas" w:cs="Consolas" w:eastAsia="Consolas" w:hAnsi="Consolas"/>
        </w:rPr>
        <w:t xml:space="preserve">            &lt;sortDirection&gt;DESC&lt;/sortDirection&gt;</w:t>
      </w:r>
    </w:p>
    <w:p>
      <w:pPr>
        <w:pStyle w:val="Code"/>
        <w:shd w:fill="F3F4F6" w:color="auto" w:val="clear"/>
        <w:spacing w:after="0" w:before="0"/>
        <w:ind w:left="0"/>
      </w:pPr>
      <w:r>
        <w:rPr>
          <w:rFonts w:ascii="Consolas" w:cs="Consolas" w:eastAsia="Consolas" w:hAnsi="Consolas"/>
        </w:rPr>
        <w:t xml:space="preserve">        &lt;/fields&gt;</w:t>
      </w:r>
    </w:p>
    <w:p>
      <w:pPr>
        <w:pStyle w:val="Code"/>
        <w:shd w:fill="F3F4F6" w:color="auto" w:val="clear"/>
        <w:spacing w:after="0" w:before="0"/>
        <w:ind w:left="0"/>
      </w:pPr>
      <w:r>
        <w:rPr>
          <w:rFonts w:ascii="Consolas" w:cs="Consolas" w:eastAsia="Consolas" w:hAnsi="Consolas"/>
        </w:rPr>
        <w:t xml:space="preserve">    &lt;/indexes&gt;</w:t>
      </w:r>
    </w:p>
    <w:p>
      <w:pPr>
        <w:pStyle w:val="Code"/>
        <w:shd w:fill="F3F4F6" w:color="auto" w:val="clear"/>
        <w:spacing w:after="0" w:before="0"/>
        <w:ind w:left="0"/>
      </w:pPr>
      <w:r>
        <w:rPr>
          <w:rFonts w:ascii="Consolas" w:cs="Consolas" w:eastAsia="Consolas" w:hAnsi="Consolas"/>
        </w:rPr>
        <w:t xml:space="preserve">    &lt;label&gt;Loan Balance Snapshot&lt;/label&gt;</w:t>
      </w:r>
    </w:p>
    <w:p>
      <w:pPr>
        <w:pStyle w:val="Code"/>
        <w:shd w:fill="F3F4F6" w:color="auto" w:val="clear"/>
        <w:spacing w:after="0" w:before="0"/>
        <w:ind w:left="0"/>
      </w:pPr>
      <w:r>
        <w:rPr>
          <w:rFonts w:ascii="Consolas" w:cs="Consolas" w:eastAsia="Consolas" w:hAnsi="Consolas"/>
        </w:rPr>
        <w:t xml:space="preserve">    &lt;pluralLabel&gt;Loan Balance Snapshots&lt;/pluralLabel&gt;</w:t>
      </w:r>
    </w:p>
    <w:p>
      <w:pPr>
        <w:pStyle w:val="Code"/>
        <w:shd w:fill="F3F4F6" w:color="auto" w:val="clear"/>
        <w:spacing w:after="160" w:before="0"/>
        <w:ind w:left="0"/>
      </w:pPr>
      <w:r>
        <w:rPr>
          <w:rFonts w:ascii="Consolas" w:cs="Consolas" w:eastAsia="Consolas" w:hAnsi="Consolas"/>
        </w:rPr>
        <w:t xml:space="preserve">&lt;/CustomObject&gt;</w:t>
      </w:r>
    </w:p>
    <w:p>
      <w:pPr>
        <w:spacing w:after="120"/>
      </w:pPr>
      <w:r>
        <w:t xml:space="preserve">Deploy with a </w:t>
      </w:r>
      <w:r>
        <w:rPr>
          <w:rFonts w:ascii="Consolas" w:cs="Consolas" w:eastAsia="Consolas" w:hAnsi="Consolas"/>
          <w:sz w:val="19"/>
          <w:szCs w:val="19"/>
          <w:shd w:fill="EEF0F3" w:color="auto" w:val="clear"/>
        </w:rPr>
        <w:t xml:space="preserve">package.xml</w:t>
      </w:r>
      <w:r>
        <w:t xml:space="preserve"> listing </w:t>
      </w:r>
      <w:r>
        <w:rPr>
          <w:rFonts w:ascii="Consolas" w:cs="Consolas" w:eastAsia="Consolas" w:hAnsi="Consolas"/>
          <w:sz w:val="19"/>
          <w:szCs w:val="19"/>
          <w:shd w:fill="EEF0F3" w:color="auto" w:val="clear"/>
        </w:rPr>
        <w:t xml:space="preserve">Loan_Balance_Snapshot__b</w:t>
      </w:r>
      <w:r>
        <w:t xml:space="preserve"> under </w:t>
      </w:r>
      <w:r>
        <w:rPr>
          <w:rFonts w:ascii="Consolas" w:cs="Consolas" w:eastAsia="Consolas" w:hAnsi="Consolas"/>
          <w:sz w:val="19"/>
          <w:szCs w:val="19"/>
          <w:shd w:fill="EEF0F3" w:color="auto" w:val="clear"/>
        </w:rPr>
        <w:t xml:space="preserve">CustomObject</w:t>
      </w:r>
      <w:r>
        <w:t xml:space="preserve"> (</w:t>
      </w:r>
      <w:r>
        <w:rPr>
          <w:rFonts w:ascii="Consolas" w:cs="Consolas" w:eastAsia="Consolas" w:hAnsi="Consolas"/>
          <w:sz w:val="19"/>
          <w:szCs w:val="19"/>
          <w:shd w:fill="EEF0F3" w:color="auto" w:val="clear"/>
        </w:rPr>
        <w:t xml:space="preserve">sf project deploy start --metadata-dir mdapi --target-org apex-data</w:t>
      </w:r>
      <w:r>
        <w:t xml:space="preserve">), grant field access with a permission set, then write and read from Apex:</w:t>
      </w:r>
    </w:p>
    <w:p>
      <w:pPr>
        <w:pStyle w:val="CodeLabel"/>
        <w:ind w:left="0"/>
      </w:pPr>
      <w:r>
        <w:t xml:space="preserve">apex</w:t>
      </w:r>
    </w:p>
    <w:p>
      <w:pPr>
        <w:pStyle w:val="Code"/>
        <w:shd w:fill="F3F4F6" w:color="auto" w:val="clear"/>
        <w:spacing w:after="0" w:before="40"/>
        <w:ind w:left="0"/>
      </w:pPr>
      <w:r>
        <w:rPr>
          <w:rFonts w:ascii="Consolas" w:cs="Consolas" w:eastAsia="Consolas" w:hAnsi="Consolas"/>
        </w:rPr>
        <w:t xml:space="preserve">List&lt;Loan_Balance_Snapshot__b&gt; rows = new List&lt;Loan_Balance_Snapshot__b&gt;();</w:t>
      </w:r>
    </w:p>
    <w:p>
      <w:pPr>
        <w:pStyle w:val="Code"/>
        <w:shd w:fill="F3F4F6" w:color="auto" w:val="clear"/>
        <w:spacing w:after="0" w:before="0"/>
        <w:ind w:left="0"/>
      </w:pPr>
      <w:r>
        <w:rPr>
          <w:rFonts w:ascii="Consolas" w:cs="Consolas" w:eastAsia="Consolas" w:hAnsi="Consolas"/>
        </w:rPr>
        <w:t xml:space="preserve">Datetime monthEnd = Datetime.newInstanceGmt(Date.today().toStartOfMonth().addDays(-1), Time.newInstance(0, 0, 0, 0));</w:t>
      </w:r>
    </w:p>
    <w:p>
      <w:pPr>
        <w:pStyle w:val="Code"/>
        <w:shd w:fill="F3F4F6" w:color="auto" w:val="clear"/>
        <w:spacing w:after="0" w:before="0"/>
        <w:ind w:left="0"/>
      </w:pPr>
      <w:r>
        <w:rPr>
          <w:rFonts w:ascii="Consolas" w:cs="Consolas" w:eastAsia="Consolas" w:hAnsi="Consolas"/>
        </w:rPr>
        <w:t xml:space="preserve">for (Loan__c l : [SELECT Core_Loan_Id__c, Principal_Balance__c, Arrears_Days__c</w:t>
      </w:r>
    </w:p>
    <w:p>
      <w:pPr>
        <w:pStyle w:val="Code"/>
        <w:shd w:fill="F3F4F6" w:color="auto" w:val="clear"/>
        <w:spacing w:after="0" w:before="0"/>
        <w:ind w:left="0"/>
      </w:pPr>
      <w:r>
        <w:rPr>
          <w:rFonts w:ascii="Consolas" w:cs="Consolas" w:eastAsia="Consolas" w:hAnsi="Consolas"/>
        </w:rPr>
        <w:t xml:space="preserve">                  FROM Loan__c WHERE Status__c != 'Discharged' WITH USER_MODE LIMIT 200]) {</w:t>
      </w:r>
    </w:p>
    <w:p>
      <w:pPr>
        <w:pStyle w:val="Code"/>
        <w:shd w:fill="F3F4F6" w:color="auto" w:val="clear"/>
        <w:spacing w:after="0" w:before="0"/>
        <w:ind w:left="0"/>
      </w:pPr>
      <w:r>
        <w:rPr>
          <w:rFonts w:ascii="Consolas" w:cs="Consolas" w:eastAsia="Consolas" w:hAnsi="Consolas"/>
        </w:rPr>
        <w:t xml:space="preserve">    rows.add(new Loan_Balance_Snapshot__b(Core_Loan_Id__c = l.Core_Loan_Id__c, Snapshot_Date__c = monthEnd,</w:t>
      </w:r>
    </w:p>
    <w:p>
      <w:pPr>
        <w:pStyle w:val="Code"/>
        <w:shd w:fill="F3F4F6" w:color="auto" w:val="clear"/>
        <w:spacing w:after="0" w:before="0"/>
        <w:ind w:left="0"/>
      </w:pPr>
      <w:r>
        <w:rPr>
          <w:rFonts w:ascii="Consolas" w:cs="Consolas" w:eastAsia="Consolas" w:hAnsi="Consolas"/>
        </w:rPr>
        <w:t xml:space="preserve">        Principal_Balance__c = l.Principal_Balance__c, Arrears_Days__c = l.Arrears_Days__c));</w:t>
      </w:r>
    </w:p>
    <w:p>
      <w:pPr>
        <w:pStyle w:val="Code"/>
        <w:shd w:fill="F3F4F6" w:color="auto" w:val="clear"/>
        <w:spacing w:after="0" w:before="0"/>
        <w:ind w:left="0"/>
      </w:pPr>
      <w:r>
        <w:rPr>
          <w:rFonts w:ascii="Consolas" w:cs="Consolas" w:eastAsia="Consolas" w:hAnsi="Consolas"/>
        </w:rPr>
        <w:t xml:space="preserve">}</w:t>
      </w:r>
    </w:p>
    <w:p>
      <w:pPr>
        <w:pStyle w:val="Code"/>
        <w:shd w:fill="F3F4F6" w:color="auto" w:val="clear"/>
        <w:spacing w:after="0" w:before="0"/>
        <w:ind w:left="0"/>
      </w:pPr>
      <w:r>
        <w:rPr>
          <w:rFonts w:ascii="Consolas" w:cs="Consolas" w:eastAsia="Consolas" w:hAnsi="Consolas"/>
        </w:rPr>
        <w:t xml:space="preserve">List&lt;Database.SaveResult&gt; saved = Database.insertImmediate(rows);   // same index values = overwrite, so reruns are idempotent</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List&lt;Loan_Balance_Snapshot__b&gt; history = [</w:t>
      </w:r>
    </w:p>
    <w:p>
      <w:pPr>
        <w:pStyle w:val="Code"/>
        <w:shd w:fill="F3F4F6" w:color="auto" w:val="clear"/>
        <w:spacing w:after="0" w:before="0"/>
        <w:ind w:left="0"/>
      </w:pPr>
      <w:r>
        <w:rPr>
          <w:rFonts w:ascii="Consolas" w:cs="Consolas" w:eastAsia="Consolas" w:hAnsi="Consolas"/>
        </w:rPr>
        <w:t xml:space="preserve">    SELECT Core_Loan_Id__c, Snapshot_Date__c, Principal_Balance__c, Arrears_Days__c</w:t>
      </w:r>
    </w:p>
    <w:p>
      <w:pPr>
        <w:pStyle w:val="Code"/>
        <w:shd w:fill="F3F4F6" w:color="auto" w:val="clear"/>
        <w:spacing w:after="0" w:before="0"/>
        <w:ind w:left="0"/>
      </w:pPr>
      <w:r>
        <w:rPr>
          <w:rFonts w:ascii="Consolas" w:cs="Consolas" w:eastAsia="Consolas" w:hAnsi="Consolas"/>
        </w:rPr>
        <w:t xml:space="preserve">    FROM Loan_Balance_Snapshot__b</w:t>
      </w:r>
    </w:p>
    <w:p>
      <w:pPr>
        <w:pStyle w:val="Code"/>
        <w:shd w:fill="F3F4F6" w:color="auto" w:val="clear"/>
        <w:spacing w:after="0" w:before="0"/>
        <w:ind w:left="0"/>
      </w:pPr>
      <w:r>
        <w:rPr>
          <w:rFonts w:ascii="Consolas" w:cs="Consolas" w:eastAsia="Consolas" w:hAnsi="Consolas"/>
        </w:rPr>
        <w:t xml:space="preserve">    WHERE Core_Loan_Id__c = 'L-000417' AND Snapshot_Date__c &gt; 2024-01-01T00:00:00Z</w:t>
      </w:r>
    </w:p>
    <w:p>
      <w:pPr>
        <w:pStyle w:val="Code"/>
        <w:shd w:fill="F3F4F6" w:color="auto" w:val="clear"/>
        <w:spacing w:after="160" w:before="0"/>
        <w:ind w:left="0"/>
      </w:pPr>
      <w:r>
        <w:rPr>
          <w:rFonts w:ascii="Consolas" w:cs="Consolas" w:eastAsia="Consolas" w:hAnsi="Consolas"/>
        </w:rPr>
        <w:t xml:space="preserve">];</w:t>
      </w:r>
    </w:p>
    <w:p>
      <w:pPr>
        <w:spacing w:after="120"/>
      </w:pPr>
      <w:r>
        <w:t xml:space="preserve">The balances are copied from servicing (Project 06's nightly pipeline); nothing in Salesforce recalculates them. Rules to remember: the index (up to 5 fields) is fixed at creation; queries filter on index fields in order, with a range only on the last one; writes aren't transactional; no triggers, flows, standard reports or sharing; Async SOQL was retired in Summer '23, so bulk processing uses Batch Apex or Bulk API. An org includes 1 million big-object records by default (more is bought as add-on capacity), so load a subset (a few hundred loans with full history) rather than all 4.8 million rows.</w:t>
      </w:r>
    </w:p>
    <w:p>
      <w:pPr>
        <w:pBdr>
          <w:bottom w:val="single" w:color="BFBFBF" w:sz="6" w:space="1"/>
        </w:pBdr>
        <w:spacing w:after="120" w:before="120"/>
      </w:pPr>
    </w:p>
    <w:p>
      <w:pPr>
        <w:pStyle w:val="Heading1"/>
      </w:pPr>
      <w:bookmarkStart w:name="s4" w:id="4"/>
      <w:r>
        <w:t xml:space="preserve">4. Large data volumes</w:t>
      </w:r>
      <w:bookmarkEnd w:id="4"/>
    </w:p>
    <w:p>
      <w:pPr>
        <w:pStyle w:val="Heading2"/>
      </w:pPr>
      <w:r>
        <w:t xml:space="preserve">DM5 — Selective queries and the query optimizer</w:t>
      </w:r>
    </w:p>
    <w:p>
      <w:pPr>
        <w:spacing w:after="120"/>
      </w:pPr>
      <w:r>
        <w:t xml:space="preserve">Load ~16k </w:t>
      </w:r>
      <w:r>
        <w:rPr>
          <w:rFonts w:ascii="Consolas" w:cs="Consolas" w:eastAsia="Consolas" w:hAnsi="Consolas"/>
          <w:sz w:val="19"/>
          <w:szCs w:val="19"/>
          <w:shd w:fill="EEF0F3" w:color="auto" w:val="clear"/>
        </w:rPr>
        <w:t xml:space="preserve">Loan__c</w:t>
      </w:r>
      <w:r>
        <w:t xml:space="preserve"> and ~25k </w:t>
      </w:r>
      <w:r>
        <w:rPr>
          <w:rFonts w:ascii="Consolas" w:cs="Consolas" w:eastAsia="Consolas" w:hAnsi="Consolas"/>
          <w:sz w:val="19"/>
          <w:szCs w:val="19"/>
          <w:shd w:fill="EEF0F3" w:color="auto" w:val="clear"/>
        </w:rPr>
        <w:t xml:space="preserve">Loan_Party__c</w:t>
      </w:r>
      <w:r>
        <w:t xml:space="preserve"> into the scratch org, then enable the </w:t>
      </w:r>
      <w:r>
        <w:rPr>
          <w:b/>
          <w:bCs/>
        </w:rPr>
        <w:t xml:space="preserve">Query Plan</w:t>
      </w:r>
      <w:r>
        <w:t xml:space="preserve"> tool (Developer Console → Help → Preferences → Enable Query Plan). Compare the plans (cost, cardinality, leading operation) for: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71"/>
        <w:gridCol w:w="6409"/>
      </w:tblGrid>
      <w:tr>
        <w:trPr>
          <w:cantSplit/>
          <w:tblHeader/>
        </w:trPr>
        <w:tc>
          <w:tcPr>
            <w:tcW w:type="dxa" w:w="3671"/>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Filter</w:t>
            </w:r>
          </w:p>
        </w:tc>
        <w:tc>
          <w:tcPr>
            <w:tcW w:type="dxa" w:w="6409"/>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Expect</w:t>
            </w:r>
          </w:p>
        </w:tc>
      </w:tr>
      <w:tr>
        <w:trPr>
          <w:cantSplit/>
        </w:trPr>
        <w:tc>
          <w:tcPr>
            <w:tcW w:type="dxa" w:w="36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6"/>
                <w:szCs w:val="16"/>
                <w:shd w:fill="EEF0F3" w:color="auto" w:val="clear"/>
              </w:rPr>
              <w:t xml:space="preserve">Core_Loan_Id__c = 'L-000417'</w:t>
            </w:r>
          </w:p>
        </w:tc>
        <w:tc>
          <w:tcPr>
            <w:tcW w:type="dxa" w:w="64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Index (External ID and unique fields are indexed automatically)</w:t>
            </w:r>
          </w:p>
        </w:tc>
      </w:tr>
      <w:tr>
        <w:trPr>
          <w:cantSplit/>
        </w:trPr>
        <w:tc>
          <w:tcPr>
            <w:tcW w:type="dxa" w:w="36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6"/>
                <w:szCs w:val="16"/>
                <w:shd w:fill="EEF0F3" w:color="auto" w:val="clear"/>
              </w:rPr>
              <w:t xml:space="preserve">CreatedDate = LAST_N_DAYS:7</w:t>
            </w:r>
          </w:p>
        </w:tc>
        <w:tc>
          <w:tcPr>
            <w:tcW w:type="dxa" w:w="64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Index (standard index)</w:t>
            </w:r>
          </w:p>
        </w:tc>
      </w:tr>
      <w:tr>
        <w:trPr>
          <w:cantSplit/>
        </w:trPr>
        <w:tc>
          <w:tcPr>
            <w:tcW w:type="dxa" w:w="36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6"/>
                <w:szCs w:val="16"/>
                <w:shd w:fill="EEF0F3" w:color="auto" w:val="clear"/>
              </w:rPr>
              <w:t xml:space="preserve">Product__c = '5Y_FIXED'</w:t>
            </w:r>
          </w:p>
        </w:tc>
        <w:tc>
          <w:tcPr>
            <w:tcW w:type="dxa" w:w="64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Table scan once the value matches too many rows</w:t>
            </w:r>
          </w:p>
        </w:tc>
      </w:tr>
      <w:tr>
        <w:trPr>
          <w:cantSplit/>
        </w:trPr>
        <w:tc>
          <w:tcPr>
            <w:tcW w:type="dxa" w:w="36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6"/>
                <w:szCs w:val="16"/>
                <w:shd w:fill="EEF0F3" w:color="auto" w:val="clear"/>
              </w:rPr>
              <w:t xml:space="preserve">Name LIKE '%Smith'</w:t>
            </w:r>
          </w:p>
        </w:tc>
        <w:tc>
          <w:tcPr>
            <w:tcW w:type="dxa" w:w="64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Table scan (leading wildcard)</w:t>
            </w:r>
          </w:p>
        </w:tc>
      </w:tr>
      <w:tr>
        <w:trPr>
          <w:cantSplit/>
        </w:trPr>
        <w:tc>
          <w:tcPr>
            <w:tcW w:type="dxa" w:w="36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6"/>
                <w:szCs w:val="16"/>
                <w:shd w:fill="EEF0F3" w:color="auto" w:val="clear"/>
              </w:rPr>
              <w:t xml:space="preserve">Status__c != 'Discharged'</w:t>
            </w:r>
          </w:p>
        </w:tc>
        <w:tc>
          <w:tcPr>
            <w:tcW w:type="dxa" w:w="64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Table scan (negative operator)</w:t>
            </w:r>
          </w:p>
        </w:tc>
      </w:tr>
      <w:tr>
        <w:trPr>
          <w:cantSplit/>
        </w:trPr>
        <w:tc>
          <w:tcPr>
            <w:tcW w:type="dxa" w:w="36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6"/>
                <w:szCs w:val="16"/>
                <w:shd w:fill="EEF0F3" w:color="auto" w:val="clear"/>
              </w:rPr>
              <w:t xml:space="preserve">Maturity_Date__c = NEXT_N_DAYS:120</w:t>
            </w:r>
          </w:p>
        </w:tc>
        <w:tc>
          <w:tcPr>
            <w:tcW w:type="dxa" w:w="64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Table scan unless Support adds a custom index — and the renewal pipeline needs exactly this query</w:t>
            </w:r>
          </w:p>
        </w:tc>
      </w:tr>
      <w:tr>
        <w:trPr>
          <w:cantSplit/>
        </w:trPr>
        <w:tc>
          <w:tcPr>
            <w:tcW w:type="dxa" w:w="36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 formula field</w:t>
            </w:r>
          </w:p>
        </w:tc>
        <w:tc>
          <w:tcPr>
            <w:tcW w:type="dxa" w:w="64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Not indexable unless deterministic and indexed by Support</w:t>
            </w:r>
          </w:p>
        </w:tc>
      </w:tr>
    </w:tbl>
    <w:p>
      <w:pPr>
        <w:spacing w:after="120"/>
      </w:pPr>
    </w:p>
    <w:p>
      <w:pPr>
        <w:spacing w:after="120"/>
      </w:pPr>
      <w:r>
        <w:t xml:space="preserve">Selectivity thresholds to know: a </w:t>
      </w:r>
      <w:r>
        <w:rPr>
          <w:b/>
          <w:bCs/>
        </w:rPr>
        <w:t xml:space="preserve">standard</w:t>
      </w:r>
      <w:r>
        <w:t xml:space="preserve"> index is used when the filter returns under 30% of the first million records and 15% of the rest, up to 1 million rows; a </w:t>
      </w:r>
      <w:r>
        <w:rPr>
          <w:b/>
          <w:bCs/>
        </w:rPr>
        <w:t xml:space="preserve">custom</w:t>
      </w:r>
      <w:r>
        <w:t xml:space="preserve"> index under 10% of the first million and 5% of the rest, up to 333,333 rows. Remedies, in order: filter on indexed fields; ask Support for a custom or two-column index; ask Support for a </w:t>
      </w:r>
      <w:r>
        <w:rPr>
          <w:b/>
          <w:bCs/>
        </w:rPr>
        <w:t xml:space="preserve">skinny table</w:t>
      </w:r>
      <w:r>
        <w:t xml:space="preserve">; archive (DM6, DM8). Bulk exports: Bulk API 2.0 query jobs split the work automatically; PK chunking is the Bulk API 1.0 equivalent.</w:t>
      </w:r>
    </w:p>
    <w:p>
      <w:pPr>
        <w:pStyle w:val="Heading2"/>
      </w:pPr>
      <w:r>
        <w:t xml:space="preserve">DM6 — Data virtualization: archived payments as an external object (INT-20)</w:t>
      </w:r>
    </w:p>
    <w:p>
      <w:pPr>
        <w:spacing w:after="120"/>
      </w:pPr>
      <w:r>
        <w:t xml:space="preserve">Payments older than 24 months live only in the S3 lake (Module 10 H6). Show them on the loan's record without storing them in Salesforce.</w:t>
      </w:r>
    </w:p>
    <w:p>
      <w:pPr>
        <w:spacing w:after="120"/>
      </w:pPr>
      <w:r>
        <w:t xml:space="preserve">Create the archive table once with an Athena CTAS from H6's curated </w:t>
      </w:r>
      <w:r>
        <w:rPr>
          <w:rFonts w:ascii="Consolas" w:cs="Consolas" w:eastAsia="Consolas" w:hAnsi="Consolas"/>
          <w:sz w:val="19"/>
          <w:szCs w:val="19"/>
          <w:shd w:fill="EEF0F3" w:color="auto" w:val="clear"/>
        </w:rPr>
        <w:t xml:space="preserve">payments</w:t>
      </w:r>
      <w:r>
        <w:t xml:space="preserve"> table (Glue database </w:t>
      </w:r>
      <w:r>
        <w:rPr>
          <w:rFonts w:ascii="Consolas" w:cs="Consolas" w:eastAsia="Consolas" w:hAnsi="Consolas"/>
          <w:sz w:val="19"/>
          <w:szCs w:val="19"/>
          <w:shd w:fill="EEF0F3" w:color="auto" w:val="clear"/>
        </w:rPr>
        <w:t xml:space="preserve">apex_lake</w:t>
      </w:r>
      <w:r>
        <w:t xml:space="preserve">): Parquet, partitioned by year and bucketed by </w:t>
      </w:r>
      <w:r>
        <w:rPr>
          <w:rFonts w:ascii="Consolas" w:cs="Consolas" w:eastAsia="Consolas" w:hAnsi="Consolas"/>
          <w:sz w:val="19"/>
          <w:szCs w:val="19"/>
          <w:shd w:fill="EEF0F3" w:color="auto" w:val="clear"/>
        </w:rPr>
        <w:t xml:space="preserve">loan_id</w:t>
      </w:r>
      <w:r>
        <w:t xml:space="preserve">, so a query for one loan reads at most one file per partition. Then add each month's newly aged rows with </w:t>
      </w:r>
      <w:r>
        <w:rPr>
          <w:rFonts w:ascii="Consolas" w:cs="Consolas" w:eastAsia="Consolas" w:hAnsi="Consolas"/>
          <w:sz w:val="19"/>
          <w:szCs w:val="19"/>
          <w:shd w:fill="EEF0F3" w:color="auto" w:val="clear"/>
        </w:rPr>
        <w:t xml:space="preserve">INSERT INTO</w:t>
      </w:r>
      <w:r>
        <w:t xml:space="preserve">.</w:t>
      </w:r>
    </w:p>
    <w:p>
      <w:pPr>
        <w:pStyle w:val="ListParagraph"/>
        <w:numPr>
          <w:ilvl w:val="0"/>
          <w:numId w:val="4"/>
        </w:numPr>
        <w:spacing w:after="60"/>
      </w:pPr>
      <w:r>
        <w:rPr>
          <w:b/>
          <w:bCs/>
        </w:rPr>
        <w:t xml:space="preserve">AWS:</w:t>
      </w:r>
      <w:r>
        <w:t xml:space="preserve"> API Gateway route </w:t>
      </w:r>
      <w:r>
        <w:rPr>
          <w:rFonts w:ascii="Consolas" w:cs="Consolas" w:eastAsia="Consolas" w:hAnsi="Consolas"/>
          <w:sz w:val="19"/>
          <w:szCs w:val="19"/>
          <w:shd w:fill="EEF0F3" w:color="auto" w:val="clear"/>
        </w:rPr>
        <w:t xml:space="preserve">GET /v1/archive/payments</w:t>
      </w:r>
      <w:r>
        <w:t xml:space="preserve"> (JWT authorizer, scope </w:t>
      </w:r>
      <w:r>
        <w:rPr>
          <w:rFonts w:ascii="Consolas" w:cs="Consolas" w:eastAsia="Consolas" w:hAnsi="Consolas"/>
          <w:sz w:val="19"/>
          <w:szCs w:val="19"/>
          <w:shd w:fill="EEF0F3" w:color="auto" w:val="clear"/>
        </w:rPr>
        <w:t xml:space="preserve">apex.archive.read</w:t>
      </w:r>
      <w:r>
        <w:t xml:space="preserve"> on </w:t>
      </w:r>
      <w:r>
        <w:rPr>
          <w:rFonts w:ascii="Consolas" w:cs="Consolas" w:eastAsia="Consolas" w:hAnsi="Consolas"/>
          <w:sz w:val="19"/>
          <w:szCs w:val="19"/>
          <w:shd w:fill="EEF0F3" w:color="auto" w:val="clear"/>
        </w:rPr>
        <w:t xml:space="preserve">apex-aws</w:t>
      </w:r>
      <w:r>
        <w:t xml:space="preserve">) → Lambda → Athena, using a parameterized query:</w:t>
      </w:r>
    </w:p>
    <w:p>
      <w:pPr>
        <w:pStyle w:val="CodeLabel"/>
        <w:ind w:left="0"/>
      </w:pPr>
      <w:r>
        <w:t xml:space="preserve">python</w:t>
      </w:r>
    </w:p>
    <w:p>
      <w:pPr>
        <w:pStyle w:val="Code"/>
        <w:shd w:fill="F3F4F6" w:color="auto" w:val="clear"/>
        <w:spacing w:after="0" w:before="40"/>
        <w:ind w:left="0"/>
      </w:pPr>
      <w:r>
        <w:rPr>
          <w:rFonts w:ascii="Consolas" w:cs="Consolas" w:eastAsia="Consolas" w:hAnsi="Consolas"/>
        </w:rPr>
        <w:t xml:space="preserve">import json, os, re, time, boto3</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athena = boto3.client("athena")</w:t>
      </w:r>
    </w:p>
    <w:p>
      <w:pPr>
        <w:pStyle w:val="Code"/>
        <w:shd w:fill="F3F4F6" w:color="auto" w:val="clear"/>
        <w:spacing w:after="0" w:before="0"/>
        <w:ind w:left="0"/>
      </w:pPr>
      <w:r>
        <w:rPr>
          <w:rFonts w:ascii="Consolas" w:cs="Consolas" w:eastAsia="Consolas" w:hAnsi="Consolas"/>
        </w:rPr>
        <w:t xml:space="preserve">LOAN = re.compile(r"^L-\d{5,6}$")</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def handler(event, _ctx):</w:t>
      </w:r>
    </w:p>
    <w:p>
      <w:pPr>
        <w:pStyle w:val="Code"/>
        <w:shd w:fill="F3F4F6" w:color="auto" w:val="clear"/>
        <w:spacing w:after="0" w:before="0"/>
        <w:ind w:left="0"/>
      </w:pPr>
      <w:r>
        <w:rPr>
          <w:rFonts w:ascii="Consolas" w:cs="Consolas" w:eastAsia="Consolas" w:hAnsi="Consolas"/>
        </w:rPr>
        <w:t xml:space="preserve">    q = event.get("queryStringParameters") or {}</w:t>
      </w:r>
    </w:p>
    <w:p>
      <w:pPr>
        <w:pStyle w:val="Code"/>
        <w:shd w:fill="F3F4F6" w:color="auto" w:val="clear"/>
        <w:spacing w:after="0" w:before="0"/>
        <w:ind w:left="0"/>
      </w:pPr>
      <w:r>
        <w:rPr>
          <w:rFonts w:ascii="Consolas" w:cs="Consolas" w:eastAsia="Consolas" w:hAnsi="Consolas"/>
        </w:rPr>
        <w:t xml:space="preserve">    loan_id = q.get("loan_id", "")</w:t>
      </w:r>
    </w:p>
    <w:p>
      <w:pPr>
        <w:pStyle w:val="Code"/>
        <w:shd w:fill="F3F4F6" w:color="auto" w:val="clear"/>
        <w:spacing w:after="0" w:before="0"/>
        <w:ind w:left="0"/>
      </w:pPr>
      <w:r>
        <w:rPr>
          <w:rFonts w:ascii="Consolas" w:cs="Consolas" w:eastAsia="Consolas" w:hAnsi="Consolas"/>
        </w:rPr>
        <w:t xml:space="preserve">    if not LOAN.match(loan_id):</w:t>
      </w:r>
    </w:p>
    <w:p>
      <w:pPr>
        <w:pStyle w:val="Code"/>
        <w:shd w:fill="F3F4F6" w:color="auto" w:val="clear"/>
        <w:spacing w:after="0" w:before="0"/>
        <w:ind w:left="0"/>
      </w:pPr>
      <w:r>
        <w:rPr>
          <w:rFonts w:ascii="Consolas" w:cs="Consolas" w:eastAsia="Consolas" w:hAnsi="Consolas"/>
        </w:rPr>
        <w:t xml:space="preserve">        return {"statusCode": 400, "body": json.dumps({"error": "loan_id is required"})}</w:t>
      </w:r>
    </w:p>
    <w:p>
      <w:pPr>
        <w:pStyle w:val="Code"/>
        <w:shd w:fill="F3F4F6" w:color="auto" w:val="clear"/>
        <w:spacing w:after="0" w:before="0"/>
        <w:ind w:left="0"/>
      </w:pPr>
      <w:r>
        <w:rPr>
          <w:rFonts w:ascii="Consolas" w:cs="Consolas" w:eastAsia="Consolas" w:hAnsi="Consolas"/>
        </w:rPr>
        <w:t xml:space="preserve">    limit = min(int(q.get("limit", "200")), 200)</w:t>
      </w:r>
    </w:p>
    <w:p>
      <w:pPr>
        <w:pStyle w:val="Code"/>
        <w:shd w:fill="F3F4F6" w:color="auto" w:val="clear"/>
        <w:spacing w:after="0" w:before="0"/>
        <w:ind w:left="0"/>
      </w:pPr>
      <w:r>
        <w:rPr>
          <w:rFonts w:ascii="Consolas" w:cs="Consolas" w:eastAsia="Consolas" w:hAnsi="Consolas"/>
        </w:rPr>
        <w:t xml:space="preserve">    qid = athena.start_query_execution(</w:t>
      </w:r>
    </w:p>
    <w:p>
      <w:pPr>
        <w:pStyle w:val="Code"/>
        <w:shd w:fill="F3F4F6" w:color="auto" w:val="clear"/>
        <w:spacing w:after="0" w:before="0"/>
        <w:ind w:left="0"/>
      </w:pPr>
      <w:r>
        <w:rPr>
          <w:rFonts w:ascii="Consolas" w:cs="Consolas" w:eastAsia="Consolas" w:hAnsi="Consolas"/>
        </w:rPr>
        <w:t xml:space="preserve">        QueryString=("SELECT payment_id, CAST(amount AS varchar) AS amount, status, "</w:t>
      </w:r>
    </w:p>
    <w:p>
      <w:pPr>
        <w:pStyle w:val="Code"/>
        <w:shd w:fill="F3F4F6" w:color="auto" w:val="clear"/>
        <w:spacing w:after="0" w:before="0"/>
        <w:ind w:left="0"/>
      </w:pPr>
      <w:r>
        <w:rPr>
          <w:rFonts w:ascii="Consolas" w:cs="Consolas" w:eastAsia="Consolas" w:hAnsi="Consolas"/>
        </w:rPr>
        <w:t xml:space="preserve">                     "CAST(date(posted_at) AS varchar) AS posted_date FROM apex_lake.payments_archive "</w:t>
      </w:r>
    </w:p>
    <w:p>
      <w:pPr>
        <w:pStyle w:val="Code"/>
        <w:shd w:fill="F3F4F6" w:color="auto" w:val="clear"/>
        <w:spacing w:after="0" w:before="0"/>
        <w:ind w:left="0"/>
      </w:pPr>
      <w:r>
        <w:rPr>
          <w:rFonts w:ascii="Consolas" w:cs="Consolas" w:eastAsia="Consolas" w:hAnsi="Consolas"/>
        </w:rPr>
        <w:t xml:space="preserve">                     f"WHERE loan_id = ? ORDER BY posted_at DESC LIMIT {limit}"),</w:t>
      </w:r>
    </w:p>
    <w:p>
      <w:pPr>
        <w:pStyle w:val="Code"/>
        <w:shd w:fill="F3F4F6" w:color="auto" w:val="clear"/>
        <w:spacing w:after="0" w:before="0"/>
        <w:ind w:left="0"/>
      </w:pPr>
      <w:r>
        <w:rPr>
          <w:rFonts w:ascii="Consolas" w:cs="Consolas" w:eastAsia="Consolas" w:hAnsi="Consolas"/>
        </w:rPr>
        <w:t xml:space="preserve">        ExecutionParameters=[f"'{loan_id}'"],                   # format validated above</w:t>
      </w:r>
    </w:p>
    <w:p>
      <w:pPr>
        <w:pStyle w:val="Code"/>
        <w:shd w:fill="F3F4F6" w:color="auto" w:val="clear"/>
        <w:spacing w:after="0" w:before="0"/>
        <w:ind w:left="0"/>
      </w:pPr>
      <w:r>
        <w:rPr>
          <w:rFonts w:ascii="Consolas" w:cs="Consolas" w:eastAsia="Consolas" w:hAnsi="Consolas"/>
        </w:rPr>
        <w:t xml:space="preserve">        WorkGroup=os.environ["ATHENA_WORKGROUP"])["QueryExecutionId"]</w:t>
      </w:r>
    </w:p>
    <w:p>
      <w:pPr>
        <w:pStyle w:val="Code"/>
        <w:shd w:fill="F3F4F6" w:color="auto" w:val="clear"/>
        <w:spacing w:after="0" w:before="0"/>
        <w:ind w:left="0"/>
      </w:pPr>
      <w:r>
        <w:rPr>
          <w:rFonts w:ascii="Consolas" w:cs="Consolas" w:eastAsia="Consolas" w:hAnsi="Consolas"/>
        </w:rPr>
        <w:t xml:space="preserve">    for _ in range(40):                                          # ~8 s budget</w:t>
      </w:r>
    </w:p>
    <w:p>
      <w:pPr>
        <w:pStyle w:val="Code"/>
        <w:shd w:fill="F3F4F6" w:color="auto" w:val="clear"/>
        <w:spacing w:after="0" w:before="0"/>
        <w:ind w:left="0"/>
      </w:pPr>
      <w:r>
        <w:rPr>
          <w:rFonts w:ascii="Consolas" w:cs="Consolas" w:eastAsia="Consolas" w:hAnsi="Consolas"/>
        </w:rPr>
        <w:t xml:space="preserve">        state = athena.get_query_execution(QueryExecutionId=qid)["QueryExecution"]["Status"]["State"]</w:t>
      </w:r>
    </w:p>
    <w:p>
      <w:pPr>
        <w:pStyle w:val="Code"/>
        <w:shd w:fill="F3F4F6" w:color="auto" w:val="clear"/>
        <w:spacing w:after="0" w:before="0"/>
        <w:ind w:left="0"/>
      </w:pPr>
      <w:r>
        <w:rPr>
          <w:rFonts w:ascii="Consolas" w:cs="Consolas" w:eastAsia="Consolas" w:hAnsi="Consolas"/>
        </w:rPr>
        <w:t xml:space="preserve">        if state in ("SUCCEEDED", "FAILED", "CANCELLED"):</w:t>
      </w:r>
    </w:p>
    <w:p>
      <w:pPr>
        <w:pStyle w:val="Code"/>
        <w:shd w:fill="F3F4F6" w:color="auto" w:val="clear"/>
        <w:spacing w:after="0" w:before="0"/>
        <w:ind w:left="0"/>
      </w:pPr>
      <w:r>
        <w:rPr>
          <w:rFonts w:ascii="Consolas" w:cs="Consolas" w:eastAsia="Consolas" w:hAnsi="Consolas"/>
        </w:rPr>
        <w:t xml:space="preserve">            break</w:t>
      </w:r>
    </w:p>
    <w:p>
      <w:pPr>
        <w:pStyle w:val="Code"/>
        <w:shd w:fill="F3F4F6" w:color="auto" w:val="clear"/>
        <w:spacing w:after="0" w:before="0"/>
        <w:ind w:left="0"/>
      </w:pPr>
      <w:r>
        <w:rPr>
          <w:rFonts w:ascii="Consolas" w:cs="Consolas" w:eastAsia="Consolas" w:hAnsi="Consolas"/>
        </w:rPr>
        <w:t xml:space="preserve">        time.sleep(0.2)</w:t>
      </w:r>
    </w:p>
    <w:p>
      <w:pPr>
        <w:pStyle w:val="Code"/>
        <w:shd w:fill="F3F4F6" w:color="auto" w:val="clear"/>
        <w:spacing w:after="0" w:before="0"/>
        <w:ind w:left="0"/>
      </w:pPr>
      <w:r>
        <w:rPr>
          <w:rFonts w:ascii="Consolas" w:cs="Consolas" w:eastAsia="Consolas" w:hAnsi="Consolas"/>
        </w:rPr>
        <w:t xml:space="preserve">    if state != "SUCCEEDED":</w:t>
      </w:r>
    </w:p>
    <w:p>
      <w:pPr>
        <w:pStyle w:val="Code"/>
        <w:shd w:fill="F3F4F6" w:color="auto" w:val="clear"/>
        <w:spacing w:after="0" w:before="0"/>
        <w:ind w:left="0"/>
      </w:pPr>
      <w:r>
        <w:rPr>
          <w:rFonts w:ascii="Consolas" w:cs="Consolas" w:eastAsia="Consolas" w:hAnsi="Consolas"/>
        </w:rPr>
        <w:t xml:space="preserve">        return {"statusCode": 503, "body": json.dumps({"error": f"archive query {state}"})}</w:t>
      </w:r>
    </w:p>
    <w:p>
      <w:pPr>
        <w:pStyle w:val="Code"/>
        <w:shd w:fill="F3F4F6" w:color="auto" w:val="clear"/>
        <w:spacing w:after="0" w:before="0"/>
        <w:ind w:left="0"/>
      </w:pPr>
      <w:r>
        <w:rPr>
          <w:rFonts w:ascii="Consolas" w:cs="Consolas" w:eastAsia="Consolas" w:hAnsi="Consolas"/>
        </w:rPr>
        <w:t xml:space="preserve">    rows = athena.get_query_results(QueryExecutionId=qid)["ResultSet"]["Rows"]</w:t>
      </w:r>
    </w:p>
    <w:p>
      <w:pPr>
        <w:pStyle w:val="Code"/>
        <w:shd w:fill="F3F4F6" w:color="auto" w:val="clear"/>
        <w:spacing w:after="0" w:before="0"/>
        <w:ind w:left="0"/>
      </w:pPr>
      <w:r>
        <w:rPr>
          <w:rFonts w:ascii="Consolas" w:cs="Consolas" w:eastAsia="Consolas" w:hAnsi="Consolas"/>
        </w:rPr>
        <w:t xml:space="preserve">    cols = [c["VarCharValue"] for c in rows[0]["Data"]]</w:t>
      </w:r>
    </w:p>
    <w:p>
      <w:pPr>
        <w:pStyle w:val="Code"/>
        <w:shd w:fill="F3F4F6" w:color="auto" w:val="clear"/>
        <w:spacing w:after="0" w:before="0"/>
        <w:ind w:left="0"/>
      </w:pPr>
      <w:r>
        <w:rPr>
          <w:rFonts w:ascii="Consolas" w:cs="Consolas" w:eastAsia="Consolas" w:hAnsi="Consolas"/>
        </w:rPr>
        <w:t xml:space="preserve">    data = [dict(zip(cols, (c.get("VarCharValue") for c in r["Data"]))) for r in rows[1:]]</w:t>
      </w:r>
    </w:p>
    <w:p>
      <w:pPr>
        <w:pStyle w:val="Code"/>
        <w:shd w:fill="F3F4F6" w:color="auto" w:val="clear"/>
        <w:spacing w:after="160" w:before="0"/>
        <w:ind w:left="0"/>
      </w:pPr>
      <w:r>
        <w:rPr>
          <w:rFonts w:ascii="Consolas" w:cs="Consolas" w:eastAsia="Consolas" w:hAnsi="Consolas"/>
        </w:rPr>
        <w:t xml:space="preserve">    return {"statusCode": 200, "headers": {"Content-Type": "application/json"}, "body": json.dumps(data)}</w:t>
      </w:r>
    </w:p>
    <w:p>
      <w:pPr>
        <w:pStyle w:val="ListParagraph"/>
        <w:numPr>
          <w:ilvl w:val="0"/>
          <w:numId w:val="5"/>
        </w:numPr>
        <w:spacing w:after="60"/>
      </w:pPr>
      <w:r>
        <w:rPr>
          <w:b/>
          <w:bCs/>
        </w:rPr>
        <w:t xml:space="preserve">Salesforce:</w:t>
      </w:r>
      <w:r>
        <w:t xml:space="preserve"> Named Credential </w:t>
      </w:r>
      <w:r>
        <w:rPr>
          <w:rFonts w:ascii="Consolas" w:cs="Consolas" w:eastAsia="Consolas" w:hAnsi="Consolas"/>
          <w:sz w:val="19"/>
          <w:szCs w:val="19"/>
          <w:shd w:fill="EEF0F3" w:color="auto" w:val="clear"/>
        </w:rPr>
        <w:t xml:space="preserve">Apex_Archive_API</w:t>
      </w:r>
      <w:r>
        <w:t xml:space="preserve"> (External Credential, OAuth client credentials against </w:t>
      </w:r>
      <w:r>
        <w:rPr>
          <w:rFonts w:ascii="Consolas" w:cs="Consolas" w:eastAsia="Consolas" w:hAnsi="Consolas"/>
          <w:sz w:val="19"/>
          <w:szCs w:val="19"/>
          <w:shd w:fill="EEF0F3" w:color="auto" w:val="clear"/>
        </w:rPr>
        <w:t xml:space="preserve">apex-aws</w:t>
      </w:r>
      <w:r>
        <w:t xml:space="preserve">), then a </w:t>
      </w:r>
      <w:r>
        <w:rPr>
          <w:b/>
          <w:bCs/>
        </w:rPr>
        <w:t xml:space="preserve">custom Salesforce Connect adapter</w:t>
      </w:r>
      <w:r>
        <w:t xml:space="preserve"> (Apex Connector Framework):</w:t>
      </w:r>
    </w:p>
    <w:p>
      <w:pPr>
        <w:pStyle w:val="CodeLabel"/>
        <w:ind w:left="0"/>
      </w:pPr>
      <w:r>
        <w:t xml:space="preserve">apex</w:t>
      </w:r>
    </w:p>
    <w:p>
      <w:pPr>
        <w:pStyle w:val="Code"/>
        <w:shd w:fill="F3F4F6" w:color="auto" w:val="clear"/>
        <w:spacing w:after="0" w:before="40"/>
        <w:ind w:left="0"/>
      </w:pPr>
      <w:r>
        <w:rPr>
          <w:rFonts w:ascii="Consolas" w:cs="Consolas" w:eastAsia="Consolas" w:hAnsi="Consolas"/>
        </w:rPr>
        <w:t xml:space="preserve">global class ArchiveDataSourceProvider extends DataSource.Provider {</w:t>
      </w:r>
    </w:p>
    <w:p>
      <w:pPr>
        <w:pStyle w:val="Code"/>
        <w:shd w:fill="F3F4F6" w:color="auto" w:val="clear"/>
        <w:spacing w:after="0" w:before="0"/>
        <w:ind w:left="0"/>
      </w:pPr>
      <w:r>
        <w:rPr>
          <w:rFonts w:ascii="Consolas" w:cs="Consolas" w:eastAsia="Consolas" w:hAnsi="Consolas"/>
        </w:rPr>
        <w:t xml:space="preserve">    override global List&lt;DataSource.AuthenticationCapability&gt; getAuthenticationCapabilities() {</w:t>
      </w:r>
    </w:p>
    <w:p>
      <w:pPr>
        <w:pStyle w:val="Code"/>
        <w:shd w:fill="F3F4F6" w:color="auto" w:val="clear"/>
        <w:spacing w:after="0" w:before="0"/>
        <w:ind w:left="0"/>
      </w:pPr>
      <w:r>
        <w:rPr>
          <w:rFonts w:ascii="Consolas" w:cs="Consolas" w:eastAsia="Consolas" w:hAnsi="Consolas"/>
        </w:rPr>
        <w:t xml:space="preserve">        return new List&lt;DataSource.AuthenticationCapability&gt;{ DataSource.AuthenticationCapability.ANONYMOUS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override global List&lt;DataSource.Capability&gt; getCapabilities() {</w:t>
      </w:r>
    </w:p>
    <w:p>
      <w:pPr>
        <w:pStyle w:val="Code"/>
        <w:shd w:fill="F3F4F6" w:color="auto" w:val="clear"/>
        <w:spacing w:after="0" w:before="0"/>
        <w:ind w:left="0"/>
      </w:pPr>
      <w:r>
        <w:rPr>
          <w:rFonts w:ascii="Consolas" w:cs="Consolas" w:eastAsia="Consolas" w:hAnsi="Consolas"/>
        </w:rPr>
        <w:t xml:space="preserve">        return new List&lt;DataSource.Capability&gt;{ DataSource.Capability.ROW_QUERY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override global DataSource.Connection getConnection(DataSource.ConnectionParams params) {</w:t>
      </w:r>
    </w:p>
    <w:p>
      <w:pPr>
        <w:pStyle w:val="Code"/>
        <w:shd w:fill="F3F4F6" w:color="auto" w:val="clear"/>
        <w:spacing w:after="0" w:before="0"/>
        <w:ind w:left="0"/>
      </w:pPr>
      <w:r>
        <w:rPr>
          <w:rFonts w:ascii="Consolas" w:cs="Consolas" w:eastAsia="Consolas" w:hAnsi="Consolas"/>
        </w:rPr>
        <w:t xml:space="preserve">        return new ArchiveDataSourceConnection(params);</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160" w:before="0"/>
        <w:ind w:left="0"/>
      </w:pPr>
      <w:r>
        <w:rPr>
          <w:rFonts w:ascii="Consolas" w:cs="Consolas" w:eastAsia="Consolas" w:hAnsi="Consolas"/>
        </w:rPr>
        <w:t xml:space="preserve">}</w:t>
      </w:r>
    </w:p>
    <w:p>
      <w:pPr>
        <w:pStyle w:val="CodeLabel"/>
        <w:ind w:left="0"/>
      </w:pPr>
      <w:r>
        <w:t xml:space="preserve">apex</w:t>
      </w:r>
    </w:p>
    <w:p>
      <w:pPr>
        <w:pStyle w:val="Code"/>
        <w:shd w:fill="F3F4F6" w:color="auto" w:val="clear"/>
        <w:spacing w:after="0" w:before="40"/>
        <w:ind w:left="0"/>
      </w:pPr>
      <w:r>
        <w:rPr>
          <w:rFonts w:ascii="Consolas" w:cs="Consolas" w:eastAsia="Consolas" w:hAnsi="Consolas"/>
        </w:rPr>
        <w:t xml:space="preserve">global class ArchiveDataSourceConnection extends DataSource.Connection {</w:t>
      </w:r>
    </w:p>
    <w:p>
      <w:pPr>
        <w:pStyle w:val="Code"/>
        <w:shd w:fill="F3F4F6" w:color="auto" w:val="clear"/>
        <w:spacing w:after="0" w:before="0"/>
        <w:ind w:left="0"/>
      </w:pPr>
      <w:r>
        <w:rPr>
          <w:rFonts w:ascii="Consolas" w:cs="Consolas" w:eastAsia="Consolas" w:hAnsi="Consolas"/>
        </w:rPr>
        <w:t xml:space="preserve">    global ArchiveDataSourceConnection(DataSource.ConnectionParams params)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override global List&lt;DataSource.Table&gt; sync() {</w:t>
      </w:r>
    </w:p>
    <w:p>
      <w:pPr>
        <w:pStyle w:val="Code"/>
        <w:shd w:fill="F3F4F6" w:color="auto" w:val="clear"/>
        <w:spacing w:after="0" w:before="0"/>
        <w:ind w:left="0"/>
      </w:pPr>
      <w:r>
        <w:rPr>
          <w:rFonts w:ascii="Consolas" w:cs="Consolas" w:eastAsia="Consolas" w:hAnsi="Consolas"/>
        </w:rPr>
        <w:t xml:space="preserve">        List&lt;DataSource.Column&gt; columns = new List&lt;DataSource.Column&gt;{</w:t>
      </w:r>
    </w:p>
    <w:p>
      <w:pPr>
        <w:pStyle w:val="Code"/>
        <w:shd w:fill="F3F4F6" w:color="auto" w:val="clear"/>
        <w:spacing w:after="0" w:before="0"/>
        <w:ind w:left="0"/>
      </w:pPr>
      <w:r>
        <w:rPr>
          <w:rFonts w:ascii="Consolas" w:cs="Consolas" w:eastAsia="Consolas" w:hAnsi="Consolas"/>
        </w:rPr>
        <w:t xml:space="preserve">            DataSource.Column.text('ExternalId', 255),</w:t>
      </w:r>
    </w:p>
    <w:p>
      <w:pPr>
        <w:pStyle w:val="Code"/>
        <w:shd w:fill="F3F4F6" w:color="auto" w:val="clear"/>
        <w:spacing w:after="0" w:before="0"/>
        <w:ind w:left="0"/>
      </w:pPr>
      <w:r>
        <w:rPr>
          <w:rFonts w:ascii="Consolas" w:cs="Consolas" w:eastAsia="Consolas" w:hAnsi="Consolas"/>
        </w:rPr>
        <w:t xml:space="preserve">            DataSource.Column.url('DisplayUrl'),</w:t>
      </w:r>
    </w:p>
    <w:p>
      <w:pPr>
        <w:pStyle w:val="Code"/>
        <w:shd w:fill="F3F4F6" w:color="auto" w:val="clear"/>
        <w:spacing w:after="0" w:before="0"/>
        <w:ind w:left="0"/>
      </w:pPr>
      <w:r>
        <w:rPr>
          <w:rFonts w:ascii="Consolas" w:cs="Consolas" w:eastAsia="Consolas" w:hAnsi="Consolas"/>
        </w:rPr>
        <w:t xml:space="preserve">            DataSource.Column.indirectLookup('LoanRef', 'Loan__c', 'Core_Loan_Id__c'),</w:t>
      </w:r>
    </w:p>
    <w:p>
      <w:pPr>
        <w:pStyle w:val="Code"/>
        <w:shd w:fill="F3F4F6" w:color="auto" w:val="clear"/>
        <w:spacing w:after="0" w:before="0"/>
        <w:ind w:left="0"/>
      </w:pPr>
      <w:r>
        <w:rPr>
          <w:rFonts w:ascii="Consolas" w:cs="Consolas" w:eastAsia="Consolas" w:hAnsi="Consolas"/>
        </w:rPr>
        <w:t xml:space="preserve">            DataSource.Column.number('Amount', 16, 2),</w:t>
      </w:r>
    </w:p>
    <w:p>
      <w:pPr>
        <w:pStyle w:val="Code"/>
        <w:shd w:fill="F3F4F6" w:color="auto" w:val="clear"/>
        <w:spacing w:after="0" w:before="0"/>
        <w:ind w:left="0"/>
      </w:pPr>
      <w:r>
        <w:rPr>
          <w:rFonts w:ascii="Consolas" w:cs="Consolas" w:eastAsia="Consolas" w:hAnsi="Consolas"/>
        </w:rPr>
        <w:t xml:space="preserve">            DataSource.Column.text('Status', 20),</w:t>
      </w:r>
    </w:p>
    <w:p>
      <w:pPr>
        <w:pStyle w:val="Code"/>
        <w:shd w:fill="F3F4F6" w:color="auto" w:val="clear"/>
        <w:spacing w:after="0" w:before="0"/>
        <w:ind w:left="0"/>
      </w:pPr>
      <w:r>
        <w:rPr>
          <w:rFonts w:ascii="Consolas" w:cs="Consolas" w:eastAsia="Consolas" w:hAnsi="Consolas"/>
        </w:rPr>
        <w:t xml:space="preserve">            DataSource.Column.text('PostedDate', 10)</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return new List&lt;DataSource.Table&gt;{ DataSource.Table.get('ArchivedPayment', 'ExternalId', columns)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override global DataSource.TableResult query(DataSource.QueryContext context) {</w:t>
      </w:r>
    </w:p>
    <w:p>
      <w:pPr>
        <w:pStyle w:val="Code"/>
        <w:shd w:fill="F3F4F6" w:color="auto" w:val="clear"/>
        <w:spacing w:after="0" w:before="0"/>
        <w:ind w:left="0"/>
      </w:pPr>
      <w:r>
        <w:rPr>
          <w:rFonts w:ascii="Consolas" w:cs="Consolas" w:eastAsia="Consolas" w:hAnsi="Consolas"/>
        </w:rPr>
        <w:t xml:space="preserve">        String loanId = equalsValue(context.tableSelection.filter, 'LoanRef');</w:t>
      </w:r>
    </w:p>
    <w:p>
      <w:pPr>
        <w:pStyle w:val="Code"/>
        <w:shd w:fill="F3F4F6" w:color="auto" w:val="clear"/>
        <w:spacing w:after="0" w:before="0"/>
        <w:ind w:left="0"/>
      </w:pPr>
      <w:r>
        <w:rPr>
          <w:rFonts w:ascii="Consolas" w:cs="Consolas" w:eastAsia="Consolas" w:hAnsi="Consolas"/>
        </w:rPr>
        <w:t xml:space="preserve">        // No loan filter = no rows: never let a list view trigger a full archive scan.</w:t>
      </w:r>
    </w:p>
    <w:p>
      <w:pPr>
        <w:pStyle w:val="Code"/>
        <w:shd w:fill="F3F4F6" w:color="auto" w:val="clear"/>
        <w:spacing w:after="0" w:before="0"/>
        <w:ind w:left="0"/>
      </w:pPr>
      <w:r>
        <w:rPr>
          <w:rFonts w:ascii="Consolas" w:cs="Consolas" w:eastAsia="Consolas" w:hAnsi="Consolas"/>
        </w:rPr>
        <w:t xml:space="preserve">        if (String.isBlank(loanId) || !userCanSeeLoan(loanId)) {</w:t>
      </w:r>
    </w:p>
    <w:p>
      <w:pPr>
        <w:pStyle w:val="Code"/>
        <w:shd w:fill="F3F4F6" w:color="auto" w:val="clear"/>
        <w:spacing w:after="0" w:before="0"/>
        <w:ind w:left="0"/>
      </w:pPr>
      <w:r>
        <w:rPr>
          <w:rFonts w:ascii="Consolas" w:cs="Consolas" w:eastAsia="Consolas" w:hAnsi="Consolas"/>
        </w:rPr>
        <w:t xml:space="preserve">            return DataSource.TableResult.get(context, new List&lt;Map&lt;String, Object&gt;&gt;());</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HttpRequest req = new HttpRequest();</w:t>
      </w:r>
    </w:p>
    <w:p>
      <w:pPr>
        <w:pStyle w:val="Code"/>
        <w:shd w:fill="F3F4F6" w:color="auto" w:val="clear"/>
        <w:spacing w:after="0" w:before="0"/>
        <w:ind w:left="0"/>
      </w:pPr>
      <w:r>
        <w:rPr>
          <w:rFonts w:ascii="Consolas" w:cs="Consolas" w:eastAsia="Consolas" w:hAnsi="Consolas"/>
        </w:rPr>
        <w:t xml:space="preserve">        req.setEndpoint('callout:Apex_Archive_API/v1/archive/payments?limit=200&amp;loan_id='</w:t>
      </w:r>
    </w:p>
    <w:p>
      <w:pPr>
        <w:pStyle w:val="Code"/>
        <w:shd w:fill="F3F4F6" w:color="auto" w:val="clear"/>
        <w:spacing w:after="0" w:before="0"/>
        <w:ind w:left="0"/>
      </w:pPr>
      <w:r>
        <w:rPr>
          <w:rFonts w:ascii="Consolas" w:cs="Consolas" w:eastAsia="Consolas" w:hAnsi="Consolas"/>
        </w:rPr>
        <w:t xml:space="preserve">            + EncodingUtil.urlEncode(loanId, 'UTF-8'));</w:t>
      </w:r>
    </w:p>
    <w:p>
      <w:pPr>
        <w:pStyle w:val="Code"/>
        <w:shd w:fill="F3F4F6" w:color="auto" w:val="clear"/>
        <w:spacing w:after="0" w:before="0"/>
        <w:ind w:left="0"/>
      </w:pPr>
      <w:r>
        <w:rPr>
          <w:rFonts w:ascii="Consolas" w:cs="Consolas" w:eastAsia="Consolas" w:hAnsi="Consolas"/>
        </w:rPr>
        <w:t xml:space="preserve">        req.setMethod('GET');</w:t>
      </w:r>
    </w:p>
    <w:p>
      <w:pPr>
        <w:pStyle w:val="Code"/>
        <w:shd w:fill="F3F4F6" w:color="auto" w:val="clear"/>
        <w:spacing w:after="0" w:before="0"/>
        <w:ind w:left="0"/>
      </w:pPr>
      <w:r>
        <w:rPr>
          <w:rFonts w:ascii="Consolas" w:cs="Consolas" w:eastAsia="Consolas" w:hAnsi="Consolas"/>
        </w:rPr>
        <w:t xml:space="preserve">        req.setTimeout(10000);</w:t>
      </w:r>
    </w:p>
    <w:p>
      <w:pPr>
        <w:pStyle w:val="Code"/>
        <w:shd w:fill="F3F4F6" w:color="auto" w:val="clear"/>
        <w:spacing w:after="0" w:before="0"/>
        <w:ind w:left="0"/>
      </w:pPr>
      <w:r>
        <w:rPr>
          <w:rFonts w:ascii="Consolas" w:cs="Consolas" w:eastAsia="Consolas" w:hAnsi="Consolas"/>
        </w:rPr>
        <w:t xml:space="preserve">        HttpResponse res = new Http().send(req);</w:t>
      </w:r>
    </w:p>
    <w:p>
      <w:pPr>
        <w:pStyle w:val="Code"/>
        <w:shd w:fill="F3F4F6" w:color="auto" w:val="clear"/>
        <w:spacing w:after="0" w:before="0"/>
        <w:ind w:left="0"/>
      </w:pPr>
      <w:r>
        <w:rPr>
          <w:rFonts w:ascii="Consolas" w:cs="Consolas" w:eastAsia="Consolas" w:hAnsi="Consolas"/>
        </w:rPr>
        <w:t xml:space="preserve">        if (res.getStatusCode() != 200) {</w:t>
      </w:r>
    </w:p>
    <w:p>
      <w:pPr>
        <w:pStyle w:val="Code"/>
        <w:shd w:fill="F3F4F6" w:color="auto" w:val="clear"/>
        <w:spacing w:after="0" w:before="0"/>
        <w:ind w:left="0"/>
      </w:pPr>
      <w:r>
        <w:rPr>
          <w:rFonts w:ascii="Consolas" w:cs="Consolas" w:eastAsia="Consolas" w:hAnsi="Consolas"/>
        </w:rPr>
        <w:t xml:space="preserve">            throw new DataSource.DataSourceException('Archive unavailable (' + res.getStatusCode() +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List&lt;Map&lt;String, Object&gt;&gt; rows = new List&lt;Map&lt;String, Object&gt;&gt;();</w:t>
      </w:r>
    </w:p>
    <w:p>
      <w:pPr>
        <w:pStyle w:val="Code"/>
        <w:shd w:fill="F3F4F6" w:color="auto" w:val="clear"/>
        <w:spacing w:after="0" w:before="0"/>
        <w:ind w:left="0"/>
      </w:pPr>
      <w:r>
        <w:rPr>
          <w:rFonts w:ascii="Consolas" w:cs="Consolas" w:eastAsia="Consolas" w:hAnsi="Consolas"/>
        </w:rPr>
        <w:t xml:space="preserve">        for (Object o : (List&lt;Object&gt;) JSON.deserializeUntyped(res.getBody())) {</w:t>
      </w:r>
    </w:p>
    <w:p>
      <w:pPr>
        <w:pStyle w:val="Code"/>
        <w:shd w:fill="F3F4F6" w:color="auto" w:val="clear"/>
        <w:spacing w:after="0" w:before="0"/>
        <w:ind w:left="0"/>
      </w:pPr>
      <w:r>
        <w:rPr>
          <w:rFonts w:ascii="Consolas" w:cs="Consolas" w:eastAsia="Consolas" w:hAnsi="Consolas"/>
        </w:rPr>
        <w:t xml:space="preserve">            Map&lt;String, Object&gt; t = (Map&lt;String, Object&gt;) o;</w:t>
      </w:r>
    </w:p>
    <w:p>
      <w:pPr>
        <w:pStyle w:val="Code"/>
        <w:shd w:fill="F3F4F6" w:color="auto" w:val="clear"/>
        <w:spacing w:after="0" w:before="0"/>
        <w:ind w:left="0"/>
      </w:pPr>
      <w:r>
        <w:rPr>
          <w:rFonts w:ascii="Consolas" w:cs="Consolas" w:eastAsia="Consolas" w:hAnsi="Consolas"/>
        </w:rPr>
        <w:t xml:space="preserve">            rows.add(new Map&lt;String, Object&gt;{</w:t>
      </w:r>
    </w:p>
    <w:p>
      <w:pPr>
        <w:pStyle w:val="Code"/>
        <w:shd w:fill="F3F4F6" w:color="auto" w:val="clear"/>
        <w:spacing w:after="0" w:before="0"/>
        <w:ind w:left="0"/>
      </w:pPr>
      <w:r>
        <w:rPr>
          <w:rFonts w:ascii="Consolas" w:cs="Consolas" w:eastAsia="Consolas" w:hAnsi="Consolas"/>
        </w:rPr>
        <w:t xml:space="preserve">                'ExternalId' =&gt; t.get('payment_id'), 'DisplayUrl' =&gt; 'https://archive.apexhl.example/payments/' + t.get('payment_id'),</w:t>
      </w:r>
    </w:p>
    <w:p>
      <w:pPr>
        <w:pStyle w:val="Code"/>
        <w:shd w:fill="F3F4F6" w:color="auto" w:val="clear"/>
        <w:spacing w:after="0" w:before="0"/>
        <w:ind w:left="0"/>
      </w:pPr>
      <w:r>
        <w:rPr>
          <w:rFonts w:ascii="Consolas" w:cs="Consolas" w:eastAsia="Consolas" w:hAnsi="Consolas"/>
        </w:rPr>
        <w:t xml:space="preserve">                'LoanRef' =&gt; loanId, 'Amount' =&gt; Decimal.valueOf(String.valueOf(t.get('amount'))),</w:t>
      </w:r>
    </w:p>
    <w:p>
      <w:pPr>
        <w:pStyle w:val="Code"/>
        <w:shd w:fill="F3F4F6" w:color="auto" w:val="clear"/>
        <w:spacing w:after="0" w:before="0"/>
        <w:ind w:left="0"/>
      </w:pPr>
      <w:r>
        <w:rPr>
          <w:rFonts w:ascii="Consolas" w:cs="Consolas" w:eastAsia="Consolas" w:hAnsi="Consolas"/>
        </w:rPr>
        <w:t xml:space="preserve">                'Status' =&gt; t.get('status'), 'PostedDate' =&gt; t.get('posted_date')</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return DataSource.TableResult.get(context, rows);</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private static String equalsValue(DataSource.Filter f, String column) {</w:t>
      </w:r>
    </w:p>
    <w:p>
      <w:pPr>
        <w:pStyle w:val="Code"/>
        <w:shd w:fill="F3F4F6" w:color="auto" w:val="clear"/>
        <w:spacing w:after="0" w:before="0"/>
        <w:ind w:left="0"/>
      </w:pPr>
      <w:r>
        <w:rPr>
          <w:rFonts w:ascii="Consolas" w:cs="Consolas" w:eastAsia="Consolas" w:hAnsi="Consolas"/>
        </w:rPr>
        <w:t xml:space="preserve">        if (f == null) return null;</w:t>
      </w:r>
    </w:p>
    <w:p>
      <w:pPr>
        <w:pStyle w:val="Code"/>
        <w:shd w:fill="F3F4F6" w:color="auto" w:val="clear"/>
        <w:spacing w:after="0" w:before="0"/>
        <w:ind w:left="0"/>
      </w:pPr>
      <w:r>
        <w:rPr>
          <w:rFonts w:ascii="Consolas" w:cs="Consolas" w:eastAsia="Consolas" w:hAnsi="Consolas"/>
        </w:rPr>
        <w:t xml:space="preserve">        if (f.type == DataSource.FilterType.EQUALS &amp;&amp; f.columnName == column) return String.valueOf(f.columnValue);</w:t>
      </w:r>
    </w:p>
    <w:p>
      <w:pPr>
        <w:pStyle w:val="Code"/>
        <w:shd w:fill="F3F4F6" w:color="auto" w:val="clear"/>
        <w:spacing w:after="0" w:before="0"/>
        <w:ind w:left="0"/>
      </w:pPr>
      <w:r>
        <w:rPr>
          <w:rFonts w:ascii="Consolas" w:cs="Consolas" w:eastAsia="Consolas" w:hAnsi="Consolas"/>
        </w:rPr>
        <w:t xml:space="preserve">        if (f.subfilters != null) {</w:t>
      </w:r>
    </w:p>
    <w:p>
      <w:pPr>
        <w:pStyle w:val="Code"/>
        <w:shd w:fill="F3F4F6" w:color="auto" w:val="clear"/>
        <w:spacing w:after="0" w:before="0"/>
        <w:ind w:left="0"/>
      </w:pPr>
      <w:r>
        <w:rPr>
          <w:rFonts w:ascii="Consolas" w:cs="Consolas" w:eastAsia="Consolas" w:hAnsi="Consolas"/>
        </w:rPr>
        <w:t xml:space="preserve">            for (DataSource.Filter s : f.subfilters) {</w:t>
      </w:r>
    </w:p>
    <w:p>
      <w:pPr>
        <w:pStyle w:val="Code"/>
        <w:shd w:fill="F3F4F6" w:color="auto" w:val="clear"/>
        <w:spacing w:after="0" w:before="0"/>
        <w:ind w:left="0"/>
      </w:pPr>
      <w:r>
        <w:rPr>
          <w:rFonts w:ascii="Consolas" w:cs="Consolas" w:eastAsia="Consolas" w:hAnsi="Consolas"/>
        </w:rPr>
        <w:t xml:space="preserve">                String v = equalsValue(s, column);</w:t>
      </w:r>
    </w:p>
    <w:p>
      <w:pPr>
        <w:pStyle w:val="Code"/>
        <w:shd w:fill="F3F4F6" w:color="auto" w:val="clear"/>
        <w:spacing w:after="0" w:before="0"/>
        <w:ind w:left="0"/>
      </w:pPr>
      <w:r>
        <w:rPr>
          <w:rFonts w:ascii="Consolas" w:cs="Consolas" w:eastAsia="Consolas" w:hAnsi="Consolas"/>
        </w:rPr>
        <w:t xml:space="preserve">                if (v != null) return v;</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return null;</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 External objects have no record-level sharing, so enforce the user's access to the loan here.</w:t>
      </w:r>
    </w:p>
    <w:p>
      <w:pPr>
        <w:pStyle w:val="Code"/>
        <w:shd w:fill="F3F4F6" w:color="auto" w:val="clear"/>
        <w:spacing w:after="0" w:before="0"/>
        <w:ind w:left="0"/>
      </w:pPr>
      <w:r>
        <w:rPr>
          <w:rFonts w:ascii="Consolas" w:cs="Consolas" w:eastAsia="Consolas" w:hAnsi="Consolas"/>
        </w:rPr>
        <w:t xml:space="preserve">    private static Boolean userCanSeeLoan(String coreLoanId) {</w:t>
      </w:r>
    </w:p>
    <w:p>
      <w:pPr>
        <w:pStyle w:val="Code"/>
        <w:shd w:fill="F3F4F6" w:color="auto" w:val="clear"/>
        <w:spacing w:after="0" w:before="0"/>
        <w:ind w:left="0"/>
      </w:pPr>
      <w:r>
        <w:rPr>
          <w:rFonts w:ascii="Consolas" w:cs="Consolas" w:eastAsia="Consolas" w:hAnsi="Consolas"/>
        </w:rPr>
        <w:t xml:space="preserve">        return ![SELECT Id FROM Loan__c WHERE Core_Loan_Id__c = :coreLoanId WITH USER_MODE LIMIT 1].isEmpty();</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160" w:before="0"/>
        <w:ind w:left="0"/>
      </w:pPr>
      <w:r>
        <w:rPr>
          <w:rFonts w:ascii="Consolas" w:cs="Consolas" w:eastAsia="Consolas" w:hAnsi="Consolas"/>
        </w:rPr>
        <w:t xml:space="preserve">}</w:t>
      </w:r>
    </w:p>
    <w:p>
      <w:pPr>
        <w:pStyle w:val="ListParagraph"/>
        <w:numPr>
          <w:ilvl w:val="0"/>
          <w:numId w:val="6"/>
        </w:numPr>
        <w:spacing w:after="60"/>
      </w:pPr>
      <w:r>
        <w:t xml:space="preserve">Setup → </w:t>
      </w:r>
      <w:r>
        <w:rPr>
          <w:b/>
          <w:bCs/>
        </w:rPr>
        <w:t xml:space="preserve">External Data Sources</w:t>
      </w:r>
      <w:r>
        <w:t xml:space="preserve"> → New → type </w:t>
      </w:r>
      <w:r>
        <w:rPr>
          <w:i/>
          <w:iCs/>
        </w:rPr>
        <w:t xml:space="preserve">ArchiveDataSourceProvider</w:t>
      </w:r>
      <w:r>
        <w:t xml:space="preserve"> → </w:t>
      </w:r>
      <w:r>
        <w:rPr>
          <w:b/>
          <w:bCs/>
        </w:rPr>
        <w:t xml:space="preserve">Validate and Sync</w:t>
      </w:r>
      <w:r>
        <w:t xml:space="preserve"> → external object </w:t>
      </w:r>
      <w:r>
        <w:rPr>
          <w:rFonts w:ascii="Consolas" w:cs="Consolas" w:eastAsia="Consolas" w:hAnsi="Consolas"/>
          <w:sz w:val="19"/>
          <w:szCs w:val="19"/>
          <w:shd w:fill="EEF0F3" w:color="auto" w:val="clear"/>
        </w:rPr>
        <w:t xml:space="preserve">ArchivedPayment__x</w:t>
      </w:r>
      <w:r>
        <w:t xml:space="preserve"> with an indirect lookup to </w:t>
      </w:r>
      <w:r>
        <w:rPr>
          <w:rFonts w:ascii="Consolas" w:cs="Consolas" w:eastAsia="Consolas" w:hAnsi="Consolas"/>
          <w:sz w:val="19"/>
          <w:szCs w:val="19"/>
          <w:shd w:fill="EEF0F3" w:color="auto" w:val="clear"/>
        </w:rPr>
        <w:t xml:space="preserve">Loan__c.Core_Loan_Id__c</w:t>
      </w:r>
      <w:r>
        <w:t xml:space="preserve">. Add the related list to the loan page. Give object access only to </w:t>
      </w:r>
      <w:r>
        <w:rPr>
          <w:rFonts w:ascii="Consolas" w:cs="Consolas" w:eastAsia="Consolas" w:hAnsi="Consolas"/>
          <w:sz w:val="19"/>
          <w:szCs w:val="19"/>
          <w:shd w:fill="EEF0F3" w:color="auto" w:val="clear"/>
        </w:rPr>
        <w:t xml:space="preserve">PSG_Specialist</w:t>
      </w:r>
      <w:r>
        <w:t xml:space="preserve">, </w:t>
      </w:r>
      <w:r>
        <w:rPr>
          <w:rFonts w:ascii="Consolas" w:cs="Consolas" w:eastAsia="Consolas" w:hAnsi="Consolas"/>
          <w:sz w:val="19"/>
          <w:szCs w:val="19"/>
          <w:shd w:fill="EEF0F3" w:color="auto" w:val="clear"/>
        </w:rPr>
        <w:t xml:space="preserve">PSG_Servicing_Ops</w:t>
      </w:r>
      <w:r>
        <w:t xml:space="preserve"> and </w:t>
      </w:r>
      <w:r>
        <w:rPr>
          <w:rFonts w:ascii="Consolas" w:cs="Consolas" w:eastAsia="Consolas" w:hAnsi="Consolas"/>
          <w:sz w:val="19"/>
          <w:szCs w:val="19"/>
          <w:shd w:fill="EEF0F3" w:color="auto" w:val="clear"/>
        </w:rPr>
        <w:t xml:space="preserve">PSG_Credit</w:t>
      </w:r>
      <w:r>
        <w:t xml:space="preserve">; which loans each person sees is still limited by sharing, through </w:t>
      </w:r>
      <w:r>
        <w:rPr>
          <w:rFonts w:ascii="Consolas" w:cs="Consolas" w:eastAsia="Consolas" w:hAnsi="Consolas"/>
          <w:sz w:val="19"/>
          <w:szCs w:val="19"/>
          <w:shd w:fill="EEF0F3" w:color="auto" w:val="clear"/>
        </w:rPr>
        <w:t xml:space="preserve">userCanSeeLoan</w:t>
      </w:r>
      <w:r>
        <w:t xml:space="preserve">.</w:t>
      </w:r>
    </w:p>
    <w:p>
      <w:pPr>
        <w:pStyle w:val="ListParagraph"/>
        <w:numPr>
          <w:ilvl w:val="0"/>
          <w:numId w:val="6"/>
        </w:numPr>
        <w:spacing w:after="60"/>
      </w:pPr>
      <w:r>
        <w:t xml:space="preserve">Tests: Alice sees her borrower's archived payments; Alice opening one of Bob's loans by URL gets no rows; a list view on the external object returns nothing; an API outage shows a clean error, not a stack trace.</w:t>
      </w:r>
    </w:p>
    <w:p>
      <w:pPr>
        <w:spacing w:after="120"/>
      </w:pPr>
      <w:r>
        <w:t xml:space="preserve">Alternatives to note in ADR-039: the native </w:t>
      </w:r>
      <w:r>
        <w:rPr>
          <w:b/>
          <w:bCs/>
        </w:rPr>
        <w:t xml:space="preserve">Salesforce Connect adapter for Amazon Athena</w:t>
      </w:r>
      <w:r>
        <w:t xml:space="preserve"> (no code; check licensing ⚠), an OData 4.0 endpoint published from MuleSoft, and Heroku Connect. The latency SLO is ≤ 3 s for ≤ 200 rows, because Athena is a cold-archive store, not an OLTP database.</w:t>
      </w:r>
    </w:p>
    <w:p>
      <w:pPr>
        <w:pStyle w:val="Heading2"/>
      </w:pPr>
      <w:r>
        <w:t xml:space="preserve">DM8 — Tiering and archive strategy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51"/>
        <w:gridCol w:w="4737"/>
        <w:gridCol w:w="2605"/>
        <w:gridCol w:w="1787"/>
      </w:tblGrid>
      <w:tr>
        <w:trPr>
          <w:cantSplit/>
          <w:tblHeader/>
        </w:trPr>
        <w:tc>
          <w:tcPr>
            <w:tcW w:type="dxa" w:w="951"/>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Tier</w:t>
            </w:r>
          </w:p>
        </w:tc>
        <w:tc>
          <w:tcPr>
            <w:tcW w:type="dxa" w:w="4737"/>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Data</w:t>
            </w:r>
          </w:p>
        </w:tc>
        <w:tc>
          <w:tcPr>
            <w:tcW w:type="dxa" w:w="2605"/>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Where</w:t>
            </w:r>
          </w:p>
        </w:tc>
        <w:tc>
          <w:tcPr>
            <w:tcW w:type="dxa" w:w="1787"/>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Access</w:t>
            </w:r>
          </w:p>
        </w:tc>
      </w:tr>
      <w:tr>
        <w:trPr>
          <w:cantSplit/>
        </w:trPr>
        <w:tc>
          <w:tcPr>
            <w:tcW w:type="dxa" w:w="95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Hot</w:t>
            </w:r>
          </w:p>
        </w:tc>
        <w:tc>
          <w:tcPr>
            <w:tcW w:type="dxa" w:w="473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Open deals and conditions, current loans and parties, 24 months of payment summaries, open cases</w:t>
            </w:r>
          </w:p>
        </w:tc>
        <w:tc>
          <w:tcPr>
            <w:tcW w:type="dxa" w:w="260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Salesforce objects</w:t>
            </w:r>
          </w:p>
        </w:tc>
        <w:tc>
          <w:tcPr>
            <w:tcW w:type="dxa" w:w="178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Native</w:t>
            </w:r>
          </w:p>
        </w:tc>
      </w:tr>
      <w:tr>
        <w:trPr>
          <w:cantSplit/>
        </w:trPr>
        <w:tc>
          <w:tcPr>
            <w:tcW w:type="dxa" w:w="95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Warm</w:t>
            </w:r>
          </w:p>
        </w:tc>
        <w:tc>
          <w:tcPr>
            <w:tcW w:type="dxa" w:w="473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Monthly loan balance snapshots (life of the loan)</w:t>
            </w:r>
          </w:p>
        </w:tc>
        <w:tc>
          <w:tcPr>
            <w:tcW w:type="dxa" w:w="260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Big object</w:t>
            </w:r>
          </w:p>
        </w:tc>
        <w:tc>
          <w:tcPr>
            <w:tcW w:type="dxa" w:w="178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Apex/LWC chart</w:t>
            </w:r>
          </w:p>
        </w:tc>
      </w:tr>
      <w:tr>
        <w:trPr>
          <w:cantSplit/>
        </w:trPr>
        <w:tc>
          <w:tcPr>
            <w:tcW w:type="dxa" w:w="95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Cold</w:t>
            </w:r>
          </w:p>
        </w:tc>
        <w:tc>
          <w:tcPr>
            <w:tcW w:type="dxa" w:w="473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Payments older than 24 months, closed cases older than 3 years, deals closed lost more than 2 years ago</w:t>
            </w:r>
          </w:p>
        </w:tc>
        <w:tc>
          <w:tcPr>
            <w:tcW w:type="dxa" w:w="260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S3 (Parquet) + Athena; Glacier tiers for older years</w:t>
            </w:r>
          </w:p>
        </w:tc>
        <w:tc>
          <w:tcPr>
            <w:tcW w:type="dxa" w:w="178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External object (DM6)</w:t>
            </w:r>
          </w:p>
        </w:tc>
      </w:tr>
      <w:tr>
        <w:trPr>
          <w:cantSplit/>
        </w:trPr>
        <w:tc>
          <w:tcPr>
            <w:tcW w:type="dxa" w:w="95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Legal hold</w:t>
            </w:r>
          </w:p>
        </w:tc>
        <w:tc>
          <w:tcPr>
            <w:tcW w:type="dxa" w:w="473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Anything under investigation or litigation</w:t>
            </w:r>
          </w:p>
        </w:tc>
        <w:tc>
          <w:tcPr>
            <w:tcW w:type="dxa" w:w="260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S3 Object Lock (Module 10 R8)</w:t>
            </w:r>
          </w:p>
        </w:tc>
        <w:tc>
          <w:tcPr>
            <w:tcW w:type="dxa" w:w="178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Compliance only</w:t>
            </w:r>
          </w:p>
        </w:tc>
      </w:tr>
    </w:tbl>
    <w:p>
      <w:pPr>
        <w:spacing w:after="120"/>
      </w:pPr>
    </w:p>
    <w:p>
      <w:pPr>
        <w:spacing w:after="120"/>
      </w:pPr>
      <w:r>
        <w:t xml:space="preserve">Build one archive job: Bulk API 2.0 query of Cases closed more than 3 years ago → S3 as Parquet → verify counts and a checksum → </w:t>
      </w:r>
      <w:r>
        <w:rPr>
          <w:b/>
          <w:bCs/>
        </w:rPr>
        <w:t xml:space="preserve">hard delete</w:t>
      </w:r>
      <w:r>
        <w:t xml:space="preserve"> in Salesforce (the "Bulk API Hard Delete" permission, granted to the archive user only) → confirm they're visible through the archive. Order matters: back up, verify, then delete.</w:t>
      </w:r>
    </w:p>
    <w:p>
      <w:pPr>
        <w:pBdr>
          <w:bottom w:val="single" w:color="BFBFBF" w:sz="6" w:space="1"/>
        </w:pBdr>
        <w:spacing w:after="120" w:before="120"/>
      </w:pPr>
    </w:p>
    <w:p>
      <w:pPr>
        <w:pStyle w:val="Heading1"/>
      </w:pPr>
      <w:bookmarkStart w:name="s5" w:id="5"/>
      <w:r>
        <w:t xml:space="preserve">5. Data management and quality</w:t>
      </w:r>
      <w:bookmarkEnd w:id="5"/>
    </w:p>
    <w:p>
      <w:pPr>
        <w:pStyle w:val="Heading2"/>
      </w:pPr>
      <w:r>
        <w:t xml:space="preserve">DQ1 — Quality controls at entry and at load</w:t>
      </w:r>
    </w:p>
    <w:p>
      <w:pPr>
        <w:spacing w:after="120"/>
      </w:pPr>
      <w:r>
        <w:t xml:space="preserve">Build these controls:</w:t>
      </w:r>
    </w:p>
    <w:p>
      <w:pPr>
        <w:pStyle w:val="ListParagraph"/>
        <w:numPr>
          <w:ilvl w:val="0"/>
          <w:numId w:val="7"/>
        </w:numPr>
        <w:spacing w:after="60"/>
      </w:pPr>
      <w:r>
        <w:t xml:space="preserve">validation rules (the Module 08 postal-code rule, and loan amount ≤ purchase price);</w:t>
      </w:r>
    </w:p>
    <w:p>
      <w:pPr>
        <w:pStyle w:val="ListParagraph"/>
        <w:numPr>
          <w:ilvl w:val="0"/>
          <w:numId w:val="7"/>
        </w:numPr>
        <w:spacing w:after="60"/>
      </w:pPr>
      <w:r>
        <w:t xml:space="preserve">dependent picklists (Country → State/Province);</w:t>
      </w:r>
    </w:p>
    <w:p>
      <w:pPr>
        <w:pStyle w:val="ListParagraph"/>
        <w:numPr>
          <w:ilvl w:val="0"/>
          <w:numId w:val="7"/>
        </w:numPr>
        <w:spacing w:after="60"/>
      </w:pPr>
      <w:r>
        <w:t xml:space="preserve">a before-save flow that normalizes phones to E.164;</w:t>
      </w:r>
    </w:p>
    <w:p>
      <w:pPr>
        <w:pStyle w:val="ListParagraph"/>
        <w:numPr>
          <w:ilvl w:val="0"/>
          <w:numId w:val="7"/>
        </w:numPr>
        <w:spacing w:after="60"/>
      </w:pPr>
      <w:r>
        <w:rPr>
          <w:b/>
          <w:bCs/>
        </w:rPr>
        <w:t xml:space="preserve">duplicate and matching rules</w:t>
      </w:r>
      <w:r>
        <w:t xml:space="preserve"> (Contacts: fuzzy first name + exact last name + email or phone; brokerage Accounts: exact licence number);</w:t>
      </w:r>
    </w:p>
    <w:p>
      <w:pPr>
        <w:pStyle w:val="ListParagraph"/>
        <w:numPr>
          <w:ilvl w:val="0"/>
          <w:numId w:val="7"/>
        </w:numPr>
        <w:spacing w:after="60"/>
      </w:pPr>
      <w:r>
        <w:t xml:space="preserve">a </w:t>
      </w:r>
      <w:r>
        <w:rPr>
          <w:rFonts w:ascii="Consolas" w:cs="Consolas" w:eastAsia="Consolas" w:hAnsi="Consolas"/>
          <w:sz w:val="19"/>
          <w:szCs w:val="19"/>
          <w:shd w:fill="EEF0F3" w:color="auto" w:val="clear"/>
        </w:rPr>
        <w:t xml:space="preserve">Data_Quality_Score__c</w:t>
      </w:r>
      <w:r>
        <w:t xml:space="preserve"> formula (completeness of eight key fields) on a dashboard.</w:t>
      </w:r>
    </w:p>
    <w:p>
      <w:pPr>
        <w:spacing w:after="120"/>
      </w:pPr>
      <w:r>
        <w:t xml:space="preserve">Decide which rules </w:t>
      </w:r>
      <w:r>
        <w:rPr>
          <w:b/>
          <w:bCs/>
        </w:rPr>
        <w:t xml:space="preserve">block</w:t>
      </w:r>
      <w:r>
        <w:t xml:space="preserve"> and which only </w:t>
      </w:r>
      <w:r>
        <w:rPr>
          <w:b/>
          <w:bCs/>
        </w:rPr>
        <w:t xml:space="preserve">report</w:t>
      </w:r>
      <w:r>
        <w:t xml:space="preserve"> during migration (MG4).</w:t>
      </w:r>
    </w:p>
    <w:p>
      <w:pPr>
        <w:pStyle w:val="Heading2"/>
      </w:pPr>
      <w:r>
        <w:t xml:space="preserve">DQ2 — Licence selection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1"/>
        <w:gridCol w:w="3158"/>
        <w:gridCol w:w="3901"/>
      </w:tblGrid>
      <w:tr>
        <w:trPr>
          <w:cantSplit/>
          <w:tblHeader/>
        </w:trPr>
        <w:tc>
          <w:tcPr>
            <w:tcW w:type="dxa" w:w="3021"/>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Persona</w:t>
            </w:r>
          </w:p>
        </w:tc>
        <w:tc>
          <w:tcPr>
            <w:tcW w:type="dxa" w:w="3158"/>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Licence</w:t>
            </w:r>
          </w:p>
        </w:tc>
        <w:tc>
          <w:tcPr>
            <w:tcW w:type="dxa" w:w="3901"/>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Why</w:t>
            </w:r>
          </w:p>
        </w:tc>
      </w:tr>
      <w:tr>
        <w:trPr>
          <w:cantSplit/>
        </w:trPr>
        <w:tc>
          <w:tcPr>
            <w:tcW w:type="dxa" w:w="302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Specialists, underwriters, credit, BDMs</w:t>
            </w:r>
          </w:p>
        </w:tc>
        <w:tc>
          <w:tcPr>
            <w:tcW w:type="dxa" w:w="315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Sales/Service Cloud user (FSC add-on in production)</w:t>
            </w:r>
          </w:p>
        </w:tc>
        <w:tc>
          <w:tcPr>
            <w:tcW w:type="dxa" w:w="39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Opportunities, cases, forecasts</w:t>
            </w:r>
          </w:p>
        </w:tc>
      </w:tr>
      <w:tr>
        <w:trPr>
          <w:cantSplit/>
        </w:trPr>
        <w:tc>
          <w:tcPr>
            <w:tcW w:type="dxa" w:w="302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Back-office staff using only custom objects</w:t>
            </w:r>
          </w:p>
        </w:tc>
        <w:tc>
          <w:tcPr>
            <w:tcW w:type="dxa" w:w="315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Salesforce Platform</w:t>
            </w:r>
          </w:p>
        </w:tc>
        <w:tc>
          <w:tcPr>
            <w:tcW w:type="dxa" w:w="39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Cheaper; no standard CRM objects such as Opportunity</w:t>
            </w:r>
          </w:p>
        </w:tc>
      </w:tr>
      <w:tr>
        <w:trPr>
          <w:cantSplit/>
        </w:trPr>
        <w:tc>
          <w:tcPr>
            <w:tcW w:type="dxa" w:w="302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MuleSoft, AWS, funding and archive integrations</w:t>
            </w:r>
          </w:p>
        </w:tc>
        <w:tc>
          <w:tcPr>
            <w:tcW w:type="dxa" w:w="315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Salesforce Integration (API-only) ⚠ check your org's allocation</w:t>
            </w:r>
          </w:p>
        </w:tc>
        <w:tc>
          <w:tcPr>
            <w:tcW w:type="dxa" w:w="39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No UI login; least privilege</w:t>
            </w:r>
          </w:p>
        </w:tc>
      </w:tr>
      <w:tr>
        <w:trPr>
          <w:cantSplit/>
        </w:trPr>
        <w:tc>
          <w:tcPr>
            <w:tcW w:type="dxa" w:w="302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Borrowers on the portal</w:t>
            </w:r>
          </w:p>
        </w:tc>
        <w:tc>
          <w:tcPr>
            <w:tcW w:type="dxa" w:w="315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Customer Community, login-based</w:t>
            </w:r>
          </w:p>
        </w:tc>
        <w:tc>
          <w:tcPr>
            <w:tcW w:type="dxa" w:w="39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High-volume users; sharing sets instead of roles</w:t>
            </w:r>
          </w:p>
        </w:tc>
      </w:tr>
      <w:tr>
        <w:trPr>
          <w:cantSplit/>
        </w:trPr>
        <w:tc>
          <w:tcPr>
            <w:tcW w:type="dxa" w:w="302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Broker agents</w:t>
            </w:r>
          </w:p>
        </w:tc>
        <w:tc>
          <w:tcPr>
            <w:tcW w:type="dxa" w:w="315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Partner Community</w:t>
            </w:r>
          </w:p>
        </w:tc>
        <w:tc>
          <w:tcPr>
            <w:tcW w:type="dxa" w:w="39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Partner roles, deal status, conditions</w:t>
            </w:r>
          </w:p>
        </w:tc>
      </w:tr>
      <w:tr>
        <w:trPr>
          <w:cantSplit/>
        </w:trPr>
        <w:tc>
          <w:tcPr>
            <w:tcW w:type="dxa" w:w="302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Solicitors and notaries (future)</w:t>
            </w:r>
          </w:p>
        </w:tc>
        <w:tc>
          <w:tcPr>
            <w:tcW w:type="dxa" w:w="315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Customer Community Plus</w:t>
            </w:r>
          </w:p>
        </w:tc>
        <w:tc>
          <w:tcPr>
            <w:tcW w:type="dxa" w:w="39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Closing documents and conditions exchange; roles and sharing rules per firm</w:t>
            </w:r>
          </w:p>
        </w:tc>
      </w:tr>
    </w:tbl>
    <w:p>
      <w:pPr>
        <w:spacing w:after="120"/>
      </w:pPr>
    </w:p>
    <w:p>
      <w:pPr>
        <w:pStyle w:val="Heading2"/>
      </w:pPr>
      <w:r>
        <w:t xml:space="preserve">DQ3 — One customer view: options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4"/>
        <w:gridCol w:w="3805"/>
        <w:gridCol w:w="3471"/>
      </w:tblGrid>
      <w:tr>
        <w:trPr>
          <w:cantSplit/>
          <w:tblHeader/>
        </w:trPr>
        <w:tc>
          <w:tcPr>
            <w:tcW w:type="dxa" w:w="2804"/>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Option</w:t>
            </w:r>
          </w:p>
        </w:tc>
        <w:tc>
          <w:tcPr>
            <w:tcW w:type="dxa" w:w="3805"/>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Use when</w:t>
            </w:r>
          </w:p>
        </w:tc>
        <w:tc>
          <w:tcPr>
            <w:tcW w:type="dxa" w:w="3471"/>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Apex</w:t>
            </w:r>
          </w:p>
        </w:tc>
      </w:tr>
      <w:tr>
        <w:trPr>
          <w:cantSplit/>
        </w:trPr>
        <w:tc>
          <w:tcPr>
            <w:tcW w:type="dxa" w:w="280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Data 360 unified profile</w:t>
            </w:r>
          </w:p>
        </w:tc>
        <w:tc>
          <w:tcPr>
            <w:tcW w:type="dxa" w:w="380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Analytics, segmentation, activation, agent grounding across sources</w:t>
            </w:r>
          </w:p>
        </w:tc>
        <w:tc>
          <w:tcPr>
            <w:tcW w:type="dxa" w:w="34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Yes (Project 04, 13 B8)</w:t>
            </w:r>
          </w:p>
        </w:tc>
      </w:tr>
      <w:tr>
        <w:trPr>
          <w:cantSplit/>
        </w:trPr>
        <w:tc>
          <w:tcPr>
            <w:tcW w:type="dxa" w:w="280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Operational MDM hub (Informatica, Reltio, etc.)</w:t>
            </w:r>
          </w:p>
        </w:tc>
        <w:tc>
          <w:tcPr>
            <w:tcW w:type="dxa" w:w="380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Several operational systems must share one golden record in real time</w:t>
            </w:r>
          </w:p>
        </w:tc>
        <w:tc>
          <w:tcPr>
            <w:tcW w:type="dxa" w:w="34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Design only</w:t>
            </w:r>
          </w:p>
        </w:tc>
      </w:tr>
      <w:tr>
        <w:trPr>
          <w:cantSplit/>
        </w:trPr>
        <w:tc>
          <w:tcPr>
            <w:tcW w:type="dxa" w:w="280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CRM as master</w:t>
            </w:r>
          </w:p>
        </w:tc>
        <w:tc>
          <w:tcPr>
            <w:tcW w:type="dxa" w:w="380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Salesforce really is where most customer data is created</w:t>
            </w:r>
          </w:p>
        </w:tc>
        <w:tc>
          <w:tcPr>
            <w:tcW w:type="dxa" w:w="34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No: the servicing system owns borrower identity after boarding</w:t>
            </w:r>
          </w:p>
        </w:tc>
      </w:tr>
      <w:tr>
        <w:trPr>
          <w:cantSplit/>
        </w:trPr>
        <w:tc>
          <w:tcPr>
            <w:tcW w:type="dxa" w:w="280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Multi-org consolidation</w:t>
            </w:r>
          </w:p>
        </w:tc>
        <w:tc>
          <w:tcPr>
            <w:tcW w:type="dxa" w:w="380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Several Salesforce orgs</w:t>
            </w:r>
          </w:p>
        </w:tc>
        <w:tc>
          <w:tcPr>
            <w:tcW w:type="dxa" w:w="34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Data 360 multi-org ingestion, Salesforce Connect cross-org adapter, or MuleSoft</w:t>
            </w:r>
          </w:p>
        </w:tc>
      </w:tr>
    </w:tbl>
    <w:p>
      <w:pPr>
        <w:spacing w:after="120"/>
      </w:pPr>
    </w:p>
    <w:p>
      <w:pPr>
        <w:pBdr>
          <w:bottom w:val="single" w:color="BFBFBF" w:sz="6" w:space="1"/>
        </w:pBdr>
        <w:spacing w:after="120" w:before="120"/>
      </w:pPr>
    </w:p>
    <w:p>
      <w:pPr>
        <w:pStyle w:val="Heading1"/>
      </w:pPr>
      <w:bookmarkStart w:name="s6" w:id="6"/>
      <w:r>
        <w:t xml:space="preserve">6. Master data management</w:t>
      </w:r>
      <w:bookmarkEnd w:id="6"/>
    </w:p>
    <w:p>
      <w:pPr>
        <w:pStyle w:val="Heading2"/>
      </w:pPr>
      <w:r>
        <w:t xml:space="preserve">MD1 — System-of-record matrix (attribute level)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342"/>
        <w:gridCol w:w="2280"/>
        <w:gridCol w:w="1626"/>
        <w:gridCol w:w="2012"/>
        <w:gridCol w:w="811"/>
        <w:gridCol w:w="2009"/>
      </w:tblGrid>
      <w:tr>
        <w:trPr>
          <w:cantSplit/>
          <w:tblHeader/>
        </w:trPr>
        <w:tc>
          <w:tcPr>
            <w:tcW w:type="dxa" w:w="1342"/>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5"/>
                <w:szCs w:val="15"/>
              </w:rPr>
              <w:t xml:space="preserve">Attribute</w:t>
            </w:r>
          </w:p>
        </w:tc>
        <w:tc>
          <w:tcPr>
            <w:tcW w:type="dxa" w:w="22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5"/>
                <w:szCs w:val="15"/>
              </w:rPr>
              <w:t xml:space="preserve">System of record</w:t>
            </w:r>
          </w:p>
        </w:tc>
        <w:tc>
          <w:tcPr>
            <w:tcW w:type="dxa" w:w="1626"/>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5"/>
                <w:szCs w:val="15"/>
              </w:rPr>
              <w:t xml:space="preserve">Writers</w:t>
            </w:r>
          </w:p>
        </w:tc>
        <w:tc>
          <w:tcPr>
            <w:tcW w:type="dxa" w:w="2012"/>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5"/>
                <w:szCs w:val="15"/>
              </w:rPr>
              <w:t xml:space="preserve">Synced to</w:t>
            </w:r>
          </w:p>
        </w:tc>
        <w:tc>
          <w:tcPr>
            <w:tcW w:type="dxa" w:w="811"/>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5"/>
                <w:szCs w:val="15"/>
              </w:rPr>
              <w:t xml:space="preserve">Latency</w:t>
            </w:r>
          </w:p>
        </w:tc>
        <w:tc>
          <w:tcPr>
            <w:tcW w:type="dxa" w:w="2009"/>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5"/>
                <w:szCs w:val="15"/>
              </w:rPr>
              <w:t xml:space="preserve">Conflict rule</w:t>
            </w:r>
          </w:p>
        </w:tc>
      </w:tr>
      <w:tr>
        <w:trPr>
          <w:cantSplit/>
        </w:trPr>
        <w:tc>
          <w:tcPr>
            <w:tcW w:type="dxa" w:w="134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Legal name, date of birth</w:t>
            </w:r>
          </w:p>
        </w:tc>
        <w:tc>
          <w:tcPr>
            <w:tcW w:type="dxa" w:w="22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Salesforce until boarding; servicing after</w:t>
            </w:r>
          </w:p>
        </w:tc>
        <w:tc>
          <w:tcPr>
            <w:tcW w:type="dxa" w:w="16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Specialist at origination; the funding saga; name changes through approval</w:t>
            </w:r>
          </w:p>
        </w:tc>
        <w:tc>
          <w:tcPr>
            <w:tcW w:type="dxa" w:w="201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Salesforce (read-only after boarding), Data 360</w:t>
            </w:r>
          </w:p>
        </w:tc>
        <w:tc>
          <w:tcPr>
            <w:tcW w:type="dxa" w:w="81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Minutes</w:t>
            </w:r>
          </w:p>
        </w:tc>
        <w:tc>
          <w:tcPr>
            <w:tcW w:type="dxa" w:w="20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Servicing wins after boarding</w:t>
            </w:r>
          </w:p>
        </w:tc>
      </w:tr>
      <w:tr>
        <w:trPr>
          <w:cantSplit/>
        </w:trPr>
        <w:tc>
          <w:tcPr>
            <w:tcW w:type="dxa" w:w="134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Preferred name</w:t>
            </w:r>
          </w:p>
        </w:tc>
        <w:tc>
          <w:tcPr>
            <w:tcW w:type="dxa" w:w="22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Salesforce</w:t>
            </w:r>
          </w:p>
        </w:tc>
        <w:tc>
          <w:tcPr>
            <w:tcW w:type="dxa" w:w="16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Specialist</w:t>
            </w:r>
          </w:p>
        </w:tc>
        <w:tc>
          <w:tcPr>
            <w:tcW w:type="dxa" w:w="201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Data 360</w:t>
            </w:r>
          </w:p>
        </w:tc>
        <w:tc>
          <w:tcPr>
            <w:tcW w:type="dxa" w:w="81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w:t>
            </w:r>
          </w:p>
        </w:tc>
        <w:tc>
          <w:tcPr>
            <w:tcW w:type="dxa" w:w="20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Salesforce wins</w:t>
            </w:r>
          </w:p>
        </w:tc>
      </w:tr>
      <w:tr>
        <w:trPr>
          <w:cantSplit/>
        </w:trPr>
        <w:tc>
          <w:tcPr>
            <w:tcW w:type="dxa" w:w="134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Mailing address</w:t>
            </w:r>
          </w:p>
        </w:tc>
        <w:tc>
          <w:tcPr>
            <w:tcW w:type="dxa" w:w="22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Servicing</w:t>
            </w:r>
          </w:p>
        </w:tc>
        <w:tc>
          <w:tcPr>
            <w:tcW w:type="dxa" w:w="16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Address-change saga</w:t>
            </w:r>
          </w:p>
        </w:tc>
        <w:tc>
          <w:tcPr>
            <w:tcW w:type="dxa" w:w="201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Salesforce, Data 360</w:t>
            </w:r>
          </w:p>
        </w:tc>
        <w:tc>
          <w:tcPr>
            <w:tcW w:type="dxa" w:w="81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Minutes</w:t>
            </w:r>
          </w:p>
        </w:tc>
        <w:tc>
          <w:tcPr>
            <w:tcW w:type="dxa" w:w="20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Servicing wins; pending changes live in </w:t>
            </w:r>
            <w:r>
              <w:rPr>
                <w:rFonts w:ascii="Consolas" w:cs="Consolas" w:eastAsia="Consolas" w:hAnsi="Consolas"/>
                <w:b w:val="false"/>
                <w:bCs w:val="false"/>
                <w:sz w:val="14"/>
                <w:szCs w:val="14"/>
                <w:shd w:fill="EEF0F3" w:color="auto" w:val="clear"/>
              </w:rPr>
              <w:t xml:space="preserve">Approval_Request__c</w:t>
            </w:r>
          </w:p>
        </w:tc>
      </w:tr>
      <w:tr>
        <w:trPr>
          <w:cantSplit/>
        </w:trPr>
        <w:tc>
          <w:tcPr>
            <w:tcW w:type="dxa" w:w="134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Email and phone</w:t>
            </w:r>
          </w:p>
        </w:tc>
        <w:tc>
          <w:tcPr>
            <w:tcW w:type="dxa" w:w="22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Salesforce</w:t>
            </w:r>
          </w:p>
        </w:tc>
        <w:tc>
          <w:tcPr>
            <w:tcW w:type="dxa" w:w="16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Borrower (portal), specialist</w:t>
            </w:r>
          </w:p>
        </w:tc>
        <w:tc>
          <w:tcPr>
            <w:tcW w:type="dxa" w:w="201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Servicing (for statements), Data 360</w:t>
            </w:r>
          </w:p>
        </w:tc>
        <w:tc>
          <w:tcPr>
            <w:tcW w:type="dxa" w:w="81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Minutes</w:t>
            </w:r>
          </w:p>
        </w:tc>
        <w:tc>
          <w:tcPr>
            <w:tcW w:type="dxa" w:w="20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Salesforce wins; a verified flag is required for statements</w:t>
            </w:r>
          </w:p>
        </w:tc>
      </w:tr>
      <w:tr>
        <w:trPr>
          <w:cantSplit/>
        </w:trPr>
        <w:tc>
          <w:tcPr>
            <w:tcW w:type="dxa" w:w="134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Marketing consent</w:t>
            </w:r>
          </w:p>
        </w:tc>
        <w:tc>
          <w:tcPr>
            <w:tcW w:type="dxa" w:w="22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Salesforce consent objects</w:t>
            </w:r>
          </w:p>
        </w:tc>
        <w:tc>
          <w:tcPr>
            <w:tcW w:type="dxa" w:w="16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Borrower, specialist, unsubscribe</w:t>
            </w:r>
          </w:p>
        </w:tc>
        <w:tc>
          <w:tcPr>
            <w:tcW w:type="dxa" w:w="201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Data 360, marketing</w:t>
            </w:r>
          </w:p>
        </w:tc>
        <w:tc>
          <w:tcPr>
            <w:tcW w:type="dxa" w:w="81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Near real time</w:t>
            </w:r>
          </w:p>
        </w:tc>
        <w:tc>
          <w:tcPr>
            <w:tcW w:type="dxa" w:w="20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Latest explicit choice wins</w:t>
            </w:r>
          </w:p>
        </w:tc>
      </w:tr>
      <w:tr>
        <w:trPr>
          <w:cantSplit/>
        </w:trPr>
        <w:tc>
          <w:tcPr>
            <w:tcW w:type="dxa" w:w="134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Credit inquiry consent</w:t>
            </w:r>
          </w:p>
        </w:tc>
        <w:tc>
          <w:tcPr>
            <w:tcW w:type="dxa" w:w="22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Salesforce (</w:t>
            </w:r>
            <w:r>
              <w:rPr>
                <w:rFonts w:ascii="Consolas" w:cs="Consolas" w:eastAsia="Consolas" w:hAnsi="Consolas"/>
                <w:b w:val="false"/>
                <w:bCs w:val="false"/>
                <w:sz w:val="14"/>
                <w:szCs w:val="14"/>
                <w:shd w:fill="EEF0F3" w:color="auto" w:val="clear"/>
              </w:rPr>
              <w:t xml:space="preserve">AuthorizationFormConsent</w:t>
            </w:r>
            <w:r>
              <w:rPr>
                <w:b w:val="false"/>
                <w:bCs w:val="false"/>
                <w:sz w:val="15"/>
                <w:szCs w:val="15"/>
              </w:rPr>
              <w:t xml:space="preserve">)</w:t>
            </w:r>
          </w:p>
        </w:tc>
        <w:tc>
          <w:tcPr>
            <w:tcW w:type="dxa" w:w="16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Borrower, specialist</w:t>
            </w:r>
          </w:p>
        </w:tc>
        <w:tc>
          <w:tcPr>
            <w:tcW w:type="dxa" w:w="201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Bureau calls (consent ID)</w:t>
            </w:r>
          </w:p>
        </w:tc>
        <w:tc>
          <w:tcPr>
            <w:tcW w:type="dxa" w:w="81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w:t>
            </w:r>
          </w:p>
        </w:tc>
        <w:tc>
          <w:tcPr>
            <w:tcW w:type="dxa" w:w="20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Never inferred; a new inquiry needs a valid consent</w:t>
            </w:r>
          </w:p>
        </w:tc>
      </w:tr>
      <w:tr>
        <w:trPr>
          <w:cantSplit/>
        </w:trPr>
        <w:tc>
          <w:tcPr>
            <w:tcW w:type="dxa" w:w="134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Identity verification (FINTRAC record)</w:t>
            </w:r>
          </w:p>
        </w:tc>
        <w:tc>
          <w:tcPr>
            <w:tcW w:type="dxa" w:w="22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Salesforce, captured at origination</w:t>
            </w:r>
          </w:p>
        </w:tc>
        <w:tc>
          <w:tcPr>
            <w:tcW w:type="dxa" w:w="16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Specialist, underwriter</w:t>
            </w:r>
          </w:p>
        </w:tc>
        <w:tc>
          <w:tcPr>
            <w:tcW w:type="dxa" w:w="201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Documents service (evidence)</w:t>
            </w:r>
          </w:p>
        </w:tc>
        <w:tc>
          <w:tcPr>
            <w:tcW w:type="dxa" w:w="81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w:t>
            </w:r>
          </w:p>
        </w:tc>
        <w:tc>
          <w:tcPr>
            <w:tcW w:type="dxa" w:w="20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Retained for the FINTRAC period (GV5)</w:t>
            </w:r>
          </w:p>
        </w:tc>
      </w:tr>
      <w:tr>
        <w:trPr>
          <w:cantSplit/>
        </w:trPr>
        <w:tc>
          <w:tcPr>
            <w:tcW w:type="dxa" w:w="134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Credit score</w:t>
            </w:r>
          </w:p>
        </w:tc>
        <w:tc>
          <w:tcPr>
            <w:tcW w:type="dxa" w:w="22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The bureau</w:t>
            </w:r>
          </w:p>
        </w:tc>
        <w:tc>
          <w:tcPr>
            <w:tcW w:type="dxa" w:w="16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Bureau call (Project 13 §4.11)</w:t>
            </w:r>
          </w:p>
        </w:tc>
        <w:tc>
          <w:tcPr>
            <w:tcW w:type="dxa" w:w="201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Salesforce (score, date, reference only)</w:t>
            </w:r>
          </w:p>
        </w:tc>
        <w:tc>
          <w:tcPr>
            <w:tcW w:type="dxa" w:w="81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On inquiry</w:t>
            </w:r>
          </w:p>
        </w:tc>
        <w:tc>
          <w:tcPr>
            <w:tcW w:type="dxa" w:w="20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Bureau wins; refresh needs a new consent</w:t>
            </w:r>
          </w:p>
        </w:tc>
      </w:tr>
      <w:tr>
        <w:trPr>
          <w:cantSplit/>
        </w:trPr>
        <w:tc>
          <w:tcPr>
            <w:tcW w:type="dxa" w:w="134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Originator assignment</w:t>
            </w:r>
          </w:p>
        </w:tc>
        <w:tc>
          <w:tcPr>
            <w:tcW w:type="dxa" w:w="22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Salesforce (record ownership)</w:t>
            </w:r>
          </w:p>
        </w:tc>
        <w:tc>
          <w:tcPr>
            <w:tcW w:type="dxa" w:w="16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Branch manager</w:t>
            </w:r>
          </w:p>
        </w:tc>
        <w:tc>
          <w:tcPr>
            <w:tcW w:type="dxa" w:w="201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Servicing </w:t>
            </w:r>
            <w:r>
              <w:rPr>
                <w:rFonts w:ascii="Consolas" w:cs="Consolas" w:eastAsia="Consolas" w:hAnsi="Consolas"/>
                <w:b w:val="false"/>
                <w:bCs w:val="false"/>
                <w:sz w:val="14"/>
                <w:szCs w:val="14"/>
                <w:shd w:fill="EEF0F3" w:color="auto" w:val="clear"/>
              </w:rPr>
              <w:t xml:space="preserve">originator_borrowers</w:t>
            </w:r>
          </w:p>
        </w:tc>
        <w:tc>
          <w:tcPr>
            <w:tcW w:type="dxa" w:w="81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Minutes</w:t>
            </w:r>
          </w:p>
        </w:tc>
        <w:tc>
          <w:tcPr>
            <w:tcW w:type="dxa" w:w="20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Salesforce wins</w:t>
            </w:r>
          </w:p>
        </w:tc>
      </w:tr>
      <w:tr>
        <w:trPr>
          <w:cantSplit/>
        </w:trPr>
        <w:tc>
          <w:tcPr>
            <w:tcW w:type="dxa" w:w="134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Loans, balances, payments, arrears</w:t>
            </w:r>
          </w:p>
        </w:tc>
        <w:tc>
          <w:tcPr>
            <w:tcW w:type="dxa" w:w="22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Servicing</w:t>
            </w:r>
          </w:p>
        </w:tc>
        <w:tc>
          <w:tcPr>
            <w:tcW w:type="dxa" w:w="16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Servicing</w:t>
            </w:r>
          </w:p>
        </w:tc>
        <w:tc>
          <w:tcPr>
            <w:tcW w:type="dxa" w:w="201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Salesforce mirror, lake, Data 360</w:t>
            </w:r>
          </w:p>
        </w:tc>
        <w:tc>
          <w:tcPr>
            <w:tcW w:type="dxa" w:w="81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Nightly</w:t>
            </w:r>
          </w:p>
        </w:tc>
        <w:tc>
          <w:tcPr>
            <w:tcW w:type="dxa" w:w="20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Servicing wins</w:t>
            </w:r>
          </w:p>
        </w:tc>
      </w:tr>
      <w:tr>
        <w:trPr>
          <w:cantSplit/>
        </w:trPr>
        <w:tc>
          <w:tcPr>
            <w:tcW w:type="dxa" w:w="134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Household membership</w:t>
            </w:r>
          </w:p>
        </w:tc>
        <w:tc>
          <w:tcPr>
            <w:tcW w:type="dxa" w:w="22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Salesforce</w:t>
            </w:r>
          </w:p>
        </w:tc>
        <w:tc>
          <w:tcPr>
            <w:tcW w:type="dxa" w:w="16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Specialist</w:t>
            </w:r>
          </w:p>
        </w:tc>
        <w:tc>
          <w:tcPr>
            <w:tcW w:type="dxa" w:w="201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Data 360</w:t>
            </w:r>
          </w:p>
        </w:tc>
        <w:tc>
          <w:tcPr>
            <w:tcW w:type="dxa" w:w="81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w:t>
            </w:r>
          </w:p>
        </w:tc>
        <w:tc>
          <w:tcPr>
            <w:tcW w:type="dxa" w:w="20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Salesforce wins</w:t>
            </w:r>
          </w:p>
        </w:tc>
      </w:tr>
      <w:tr>
        <w:trPr>
          <w:cantSplit/>
        </w:trPr>
        <w:tc>
          <w:tcPr>
            <w:tcW w:type="dxa" w:w="134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Broker of record</w:t>
            </w:r>
          </w:p>
        </w:tc>
        <w:tc>
          <w:tcPr>
            <w:tcW w:type="dxa" w:w="22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Salesforce (</w:t>
            </w:r>
            <w:r>
              <w:rPr>
                <w:rFonts w:ascii="Consolas" w:cs="Consolas" w:eastAsia="Consolas" w:hAnsi="Consolas"/>
                <w:b w:val="false"/>
                <w:bCs w:val="false"/>
                <w:sz w:val="14"/>
                <w:szCs w:val="14"/>
                <w:shd w:fill="EEF0F3" w:color="auto" w:val="clear"/>
              </w:rPr>
              <w:t xml:space="preserve">Broker__c</w:t>
            </w:r>
            <w:r>
              <w:rPr>
                <w:b w:val="false"/>
                <w:bCs w:val="false"/>
                <w:sz w:val="15"/>
                <w:szCs w:val="15"/>
              </w:rPr>
              <w:t xml:space="preserve"> on the deal)</w:t>
            </w:r>
          </w:p>
        </w:tc>
        <w:tc>
          <w:tcPr>
            <w:tcW w:type="dxa" w:w="16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Intake processor (Project 13 B9)</w:t>
            </w:r>
          </w:p>
        </w:tc>
        <w:tc>
          <w:tcPr>
            <w:tcW w:type="dxa" w:w="201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Servicing, finance (compensation)</w:t>
            </w:r>
          </w:p>
        </w:tc>
        <w:tc>
          <w:tcPr>
            <w:tcW w:type="dxa" w:w="81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At funding</w:t>
            </w:r>
          </w:p>
        </w:tc>
        <w:tc>
          <w:tcPr>
            <w:tcW w:type="dxa" w:w="20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Salesforce wins</w:t>
            </w:r>
          </w:p>
        </w:tc>
      </w:tr>
      <w:tr>
        <w:trPr>
          <w:cantSplit/>
        </w:trPr>
        <w:tc>
          <w:tcPr>
            <w:tcW w:type="dxa" w:w="134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Solicitor panel status</w:t>
            </w:r>
          </w:p>
        </w:tc>
        <w:tc>
          <w:tcPr>
            <w:tcW w:type="dxa" w:w="22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Servicing</w:t>
            </w:r>
          </w:p>
        </w:tc>
        <w:tc>
          <w:tcPr>
            <w:tcW w:type="dxa" w:w="16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Funding team</w:t>
            </w:r>
          </w:p>
        </w:tc>
        <w:tc>
          <w:tcPr>
            <w:tcW w:type="dxa" w:w="201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Salesforce mirror</w:t>
            </w:r>
          </w:p>
        </w:tc>
        <w:tc>
          <w:tcPr>
            <w:tcW w:type="dxa" w:w="81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Nightly</w:t>
            </w:r>
          </w:p>
        </w:tc>
        <w:tc>
          <w:tcPr>
            <w:tcW w:type="dxa" w:w="20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Servicing wins (and is checked again at scheduling)</w:t>
            </w:r>
          </w:p>
        </w:tc>
      </w:tr>
    </w:tbl>
    <w:p>
      <w:pPr>
        <w:spacing w:after="120"/>
      </w:pPr>
    </w:p>
    <w:p>
      <w:pPr>
        <w:pStyle w:val="Heading2"/>
      </w:pPr>
      <w:r>
        <w:t xml:space="preserve">MD2 — MDM style and survivorship (ADR-041)</w:t>
      </w:r>
    </w:p>
    <w:p>
      <w:pPr>
        <w:spacing w:after="120"/>
      </w:pPr>
      <w:r>
        <w:t xml:space="preserve">Choose among four styles:</w:t>
      </w:r>
    </w:p>
    <w:p>
      <w:pPr>
        <w:pStyle w:val="ListParagraph"/>
        <w:numPr>
          <w:ilvl w:val="0"/>
          <w:numId w:val="8"/>
        </w:numPr>
        <w:spacing w:after="60"/>
      </w:pPr>
      <w:r>
        <w:rPr>
          <w:b/>
          <w:bCs/>
        </w:rPr>
        <w:t xml:space="preserve">Registry:</w:t>
      </w:r>
      <w:r>
        <w:t xml:space="preserve"> an index of source IDs.</w:t>
      </w:r>
    </w:p>
    <w:p>
      <w:pPr>
        <w:pStyle w:val="ListParagraph"/>
        <w:numPr>
          <w:ilvl w:val="0"/>
          <w:numId w:val="8"/>
        </w:numPr>
        <w:spacing w:after="60"/>
      </w:pPr>
      <w:r>
        <w:rPr>
          <w:b/>
          <w:bCs/>
        </w:rPr>
        <w:t xml:space="preserve">Consolidation:</w:t>
      </w:r>
      <w:r>
        <w:t xml:space="preserve"> a read-only golden record for analytics.</w:t>
      </w:r>
    </w:p>
    <w:p>
      <w:pPr>
        <w:pStyle w:val="ListParagraph"/>
        <w:numPr>
          <w:ilvl w:val="0"/>
          <w:numId w:val="8"/>
        </w:numPr>
        <w:spacing w:after="60"/>
      </w:pPr>
      <w:r>
        <w:rPr>
          <w:b/>
          <w:bCs/>
        </w:rPr>
        <w:t xml:space="preserve">Coexistence:</w:t>
      </w:r>
      <w:r>
        <w:t xml:space="preserve"> a golden record synchronized back to the sources.</w:t>
      </w:r>
    </w:p>
    <w:p>
      <w:pPr>
        <w:pStyle w:val="ListParagraph"/>
        <w:numPr>
          <w:ilvl w:val="0"/>
          <w:numId w:val="8"/>
        </w:numPr>
        <w:spacing w:after="60"/>
      </w:pPr>
      <w:r>
        <w:rPr>
          <w:b/>
          <w:bCs/>
        </w:rPr>
        <w:t xml:space="preserve">Centralized (transaction):</w:t>
      </w:r>
      <w:r>
        <w:t xml:space="preserve"> all writes go through the hub.</w:t>
      </w:r>
    </w:p>
    <w:p>
      <w:pPr>
        <w:spacing w:after="120"/>
      </w:pPr>
      <w:r>
        <w:t xml:space="preserve">Apex uses </w:t>
      </w:r>
      <w:r>
        <w:rPr>
          <w:i/>
          <w:iCs/>
        </w:rPr>
        <w:t xml:space="preserve">coexistence</w:t>
      </w:r>
      <w:r>
        <w:t xml:space="preserve"> for borrower identity: Salesforce captures it at origination, and servicing is authoritative after boarding. It adds </w:t>
      </w:r>
      <w:r>
        <w:rPr>
          <w:i/>
          <w:iCs/>
        </w:rPr>
        <w:t xml:space="preserve">consolidation</w:t>
      </w:r>
      <w:r>
        <w:t xml:space="preserve"> in Data 360 for analytics and agents. Write survivorship rules per attribute (source priority, most recent verified, most complete) and the golden-record keys (</w:t>
      </w:r>
      <w:r>
        <w:rPr>
          <w:rFonts w:ascii="Consolas" w:cs="Consolas" w:eastAsia="Consolas" w:hAnsi="Consolas"/>
          <w:sz w:val="19"/>
          <w:szCs w:val="19"/>
          <w:shd w:fill="EEF0F3" w:color="auto" w:val="clear"/>
        </w:rPr>
        <w:t xml:space="preserve">Core_Borrower_Id__c</w:t>
      </w:r>
      <w:r>
        <w:t xml:space="preserve"> ↔ Unified Individual ID). Plan traceability: source IDs on every record, Field History Tracking (18 months by default), and Field Audit Trail for longer retention (Shield, design only). A partner's payload (a broker submission) never overwrites an existing borrower's master data without review.</w:t>
      </w:r>
    </w:p>
    <w:p>
      <w:pPr>
        <w:pStyle w:val="Heading2"/>
      </w:pPr>
      <w:r>
        <w:t xml:space="preserve">MD3 — Preventing synchronization loops</w:t>
      </w:r>
    </w:p>
    <w:p>
      <w:pPr>
        <w:spacing w:after="120"/>
      </w:pPr>
      <w:r>
        <w:t xml:space="preserve">When servicing changes an address and the change syncs to Salesforce, Salesforce must not echo it back. Implement:</w:t>
      </w:r>
    </w:p>
    <w:p>
      <w:pPr>
        <w:pStyle w:val="ListParagraph"/>
        <w:numPr>
          <w:ilvl w:val="0"/>
          <w:numId w:val="9"/>
        </w:numPr>
        <w:spacing w:after="60"/>
      </w:pPr>
      <w:r>
        <w:t xml:space="preserve">a custom permission </w:t>
      </w:r>
      <w:r>
        <w:rPr>
          <w:rFonts w:ascii="Consolas" w:cs="Consolas" w:eastAsia="Consolas" w:hAnsi="Consolas"/>
          <w:sz w:val="19"/>
          <w:szCs w:val="19"/>
          <w:shd w:fill="EEF0F3" w:color="auto" w:val="clear"/>
        </w:rPr>
        <w:t xml:space="preserve">Integration_Origin</w:t>
      </w:r>
      <w:r>
        <w:t xml:space="preserve"> on the integration users;</w:t>
      </w:r>
    </w:p>
    <w:p>
      <w:pPr>
        <w:pStyle w:val="ListParagraph"/>
        <w:numPr>
          <w:ilvl w:val="0"/>
          <w:numId w:val="9"/>
        </w:numPr>
        <w:spacing w:after="60"/>
      </w:pPr>
      <w:r>
        <w:t xml:space="preserve">record-triggered flows and outbound events that skip changes where </w:t>
      </w:r>
      <w:r>
        <w:rPr>
          <w:rFonts w:ascii="Consolas" w:cs="Consolas" w:eastAsia="Consolas" w:hAnsi="Consolas"/>
          <w:sz w:val="19"/>
          <w:szCs w:val="19"/>
          <w:shd w:fill="EEF0F3" w:color="auto" w:val="clear"/>
        </w:rPr>
        <w:t xml:space="preserve">{!$Permission.Integration_Origin}</w:t>
      </w:r>
      <w:r>
        <w:t xml:space="preserve"> is true;</w:t>
      </w:r>
    </w:p>
    <w:p>
      <w:pPr>
        <w:pStyle w:val="ListParagraph"/>
        <w:numPr>
          <w:ilvl w:val="0"/>
          <w:numId w:val="9"/>
        </w:numPr>
        <w:spacing w:after="60"/>
      </w:pPr>
      <w:r>
        <w:t xml:space="preserve">a </w:t>
      </w:r>
      <w:r>
        <w:rPr>
          <w:rFonts w:ascii="Consolas" w:cs="Consolas" w:eastAsia="Consolas" w:hAnsi="Consolas"/>
          <w:sz w:val="19"/>
          <w:szCs w:val="19"/>
          <w:shd w:fill="EEF0F3" w:color="auto" w:val="clear"/>
        </w:rPr>
        <w:t xml:space="preserve">Last_Update_Source__c</w:t>
      </w:r>
      <w:r>
        <w:t xml:space="preserve"> field set by each writer;</w:t>
      </w:r>
    </w:p>
    <w:p>
      <w:pPr>
        <w:pStyle w:val="ListParagraph"/>
        <w:numPr>
          <w:ilvl w:val="0"/>
          <w:numId w:val="9"/>
        </w:numPr>
        <w:spacing w:after="60"/>
      </w:pPr>
      <w:r>
        <w:t xml:space="preserve">a Mule subscriber that drops events whose source is </w:t>
      </w:r>
      <w:r>
        <w:rPr>
          <w:rFonts w:ascii="Consolas" w:cs="Consolas" w:eastAsia="Consolas" w:hAnsi="Consolas"/>
          <w:sz w:val="19"/>
          <w:szCs w:val="19"/>
          <w:shd w:fill="EEF0F3" w:color="auto" w:val="clear"/>
        </w:rPr>
        <w:t xml:space="preserve">SERVICING</w:t>
      </w:r>
      <w:r>
        <w:t xml:space="preserve">.</w:t>
      </w:r>
    </w:p>
    <w:p>
      <w:pPr>
        <w:spacing w:after="120"/>
      </w:pPr>
      <w:r>
        <w:t xml:space="preserve">Test: change an address in servicing → one update in Salesforce → no event back to servicing.</w:t>
      </w:r>
    </w:p>
    <w:p>
      <w:pPr>
        <w:pBdr>
          <w:bottom w:val="single" w:color="BFBFBF" w:sz="6" w:space="1"/>
        </w:pBdr>
        <w:spacing w:after="120" w:before="120"/>
      </w:pPr>
    </w:p>
    <w:p>
      <w:pPr>
        <w:pStyle w:val="Heading1"/>
      </w:pPr>
      <w:bookmarkStart w:name="s7" w:id="7"/>
      <w:r>
        <w:t xml:space="preserve">7. Data migration — legacy CRM to Salesforce</w:t>
      </w:r>
      <w:bookmarkEnd w:id="7"/>
    </w:p>
    <w:p>
      <w:pPr>
        <w:pStyle w:val="Heading2"/>
      </w:pPr>
      <w:r>
        <w:t xml:space="preserve">MG1 — Strategy and tooling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83"/>
        <w:gridCol w:w="3314"/>
        <w:gridCol w:w="4683"/>
      </w:tblGrid>
      <w:tr>
        <w:trPr>
          <w:cantSplit/>
          <w:tblHeader/>
        </w:trPr>
        <w:tc>
          <w:tcPr>
            <w:tcW w:type="dxa" w:w="2083"/>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Tool</w:t>
            </w:r>
          </w:p>
        </w:tc>
        <w:tc>
          <w:tcPr>
            <w:tcW w:type="dxa" w:w="3314"/>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Fits when</w:t>
            </w:r>
          </w:p>
        </w:tc>
        <w:tc>
          <w:tcPr>
            <w:tcW w:type="dxa" w:w="4683"/>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Limits to know</w:t>
            </w:r>
          </w:p>
        </w:tc>
      </w:tr>
      <w:tr>
        <w:trPr>
          <w:cantSplit/>
        </w:trPr>
        <w:tc>
          <w:tcPr>
            <w:tcW w:type="dxa" w:w="208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Data Import Wizard</w:t>
            </w:r>
          </w:p>
        </w:tc>
        <w:tc>
          <w:tcPr>
            <w:tcW w:type="dxa" w:w="33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Admin one-offs</w:t>
            </w:r>
          </w:p>
        </w:tc>
        <w:tc>
          <w:tcPr>
            <w:tcW w:type="dxa" w:w="468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Up to 50,000 records per import; limited objects</w:t>
            </w:r>
          </w:p>
        </w:tc>
      </w:tr>
      <w:tr>
        <w:trPr>
          <w:cantSplit/>
        </w:trPr>
        <w:tc>
          <w:tcPr>
            <w:tcW w:type="dxa" w:w="208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Data Loader (GUI or CLI)</w:t>
            </w:r>
          </w:p>
        </w:tc>
        <w:tc>
          <w:tcPr>
            <w:tcW w:type="dxa" w:w="33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Repeatable loads by admins</w:t>
            </w:r>
          </w:p>
        </w:tc>
        <w:tc>
          <w:tcPr>
            <w:tcW w:type="dxa" w:w="468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Uses Bulk API 1.0 or 2.0</w:t>
            </w:r>
          </w:p>
        </w:tc>
      </w:tr>
      <w:tr>
        <w:trPr>
          <w:cantSplit/>
        </w:trPr>
        <w:tc>
          <w:tcPr>
            <w:tcW w:type="dxa" w:w="208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bCs/>
                <w:sz w:val="17"/>
                <w:szCs w:val="17"/>
              </w:rPr>
              <w:t xml:space="preserve">sf CLI bulk commands</w:t>
            </w:r>
            <w:r>
              <w:rPr>
                <w:b w:val="false"/>
                <w:bCs w:val="false"/>
                <w:sz w:val="17"/>
                <w:szCs w:val="17"/>
              </w:rPr>
              <w:t xml:space="preserve"> (chosen)</w:t>
            </w:r>
          </w:p>
        </w:tc>
        <w:tc>
          <w:tcPr>
            <w:tcW w:type="dxa" w:w="33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Scripted, version-controlled rehearsals</w:t>
            </w:r>
          </w:p>
        </w:tc>
        <w:tc>
          <w:tcPr>
            <w:tcW w:type="dxa" w:w="468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Bulk API 2.0: 150 million records per rolling 24 h, 150 MB per upload, 15,000 batches a day shared with Bulk API 1.0 ⚠ check the current limits cheat sheet</w:t>
            </w:r>
          </w:p>
        </w:tc>
      </w:tr>
      <w:tr>
        <w:trPr>
          <w:cantSplit/>
        </w:trPr>
        <w:tc>
          <w:tcPr>
            <w:tcW w:type="dxa" w:w="208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MuleSoft batch (Project 06)</w:t>
            </w:r>
          </w:p>
        </w:tc>
        <w:tc>
          <w:tcPr>
            <w:tcW w:type="dxa" w:w="33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Ongoing integration and complex transformation</w:t>
            </w:r>
          </w:p>
        </w:tc>
        <w:tc>
          <w:tcPr>
            <w:tcW w:type="dxa" w:w="468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Needs Anypoint</w:t>
            </w:r>
          </w:p>
        </w:tc>
      </w:tr>
      <w:tr>
        <w:trPr>
          <w:cantSplit/>
        </w:trPr>
        <w:tc>
          <w:tcPr>
            <w:tcW w:type="dxa" w:w="208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Commercial ETL</w:t>
            </w:r>
          </w:p>
        </w:tc>
        <w:tc>
          <w:tcPr>
            <w:tcW w:type="dxa" w:w="33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Very large or many-source programmes</w:t>
            </w:r>
          </w:p>
        </w:tc>
        <w:tc>
          <w:tcPr>
            <w:tcW w:type="dxa" w:w="468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Licence cost</w:t>
            </w:r>
          </w:p>
        </w:tc>
      </w:tr>
    </w:tbl>
    <w:p>
      <w:pPr>
        <w:spacing w:after="120"/>
      </w:pPr>
    </w:p>
    <w:p>
      <w:pPr>
        <w:spacing w:after="120"/>
      </w:pPr>
      <w:r>
        <w:t xml:space="preserve">Approach: phased by branch (Vancouver, then Toronto), each rehearsed at least twice in a scratch org before the "production" load into the Apex org. One rule shapes everything: </w:t>
      </w:r>
      <w:r>
        <w:rPr>
          <w:b/>
          <w:bCs/>
        </w:rPr>
        <w:t xml:space="preserve">funded loans aren't migrated from the legacy CRM.</w:t>
      </w:r>
      <w:r>
        <w:t xml:space="preserve"> They're loaded from servicing, their system of record, through Project 06's pipeline in full-load mode and then reconciled. Copying them from a CRM export would import that CRM's stale balances.</w:t>
      </w:r>
    </w:p>
    <w:p>
      <w:pPr>
        <w:pStyle w:val="Heading2"/>
      </w:pPr>
      <w:r>
        <w:t xml:space="preserve">MG2 — Profile before you map</w:t>
      </w:r>
    </w:p>
    <w:p>
      <w:pPr>
        <w:spacing w:after="120"/>
      </w:pPr>
      <w:r>
        <w:t xml:space="preserve">Export </w:t>
      </w:r>
      <w:r>
        <w:rPr>
          <w:rFonts w:ascii="Consolas" w:cs="Consolas" w:eastAsia="Consolas" w:hAnsi="Consolas"/>
          <w:sz w:val="19"/>
          <w:szCs w:val="19"/>
          <w:shd w:fill="EEF0F3" w:color="auto" w:val="clear"/>
        </w:rPr>
        <w:t xml:space="preserve">14-data/user_map.csv</w:t>
      </w:r>
      <w:r>
        <w:t xml:space="preserve"> (</w:t>
      </w:r>
      <w:r>
        <w:rPr>
          <w:rFonts w:ascii="Consolas" w:cs="Consolas" w:eastAsia="Consolas" w:hAnsi="Consolas"/>
          <w:sz w:val="19"/>
          <w:szCs w:val="19"/>
          <w:shd w:fill="EEF0F3" w:color="auto" w:val="clear"/>
        </w:rPr>
        <w:t xml:space="preserve">OWNER_EMAIL,SF_USER_ID</w:t>
      </w:r>
      <w:r>
        <w:t xml:space="preserve">) from the target org's active users, then profile the export (</w:t>
      </w:r>
      <w:r>
        <w:rPr>
          <w:rFonts w:ascii="Consolas" w:cs="Consolas" w:eastAsia="Consolas" w:hAnsi="Consolas"/>
          <w:sz w:val="19"/>
          <w:szCs w:val="19"/>
          <w:shd w:fill="EEF0F3" w:color="auto" w:val="clear"/>
        </w:rPr>
        <w:t xml:space="preserve">14-data/profile.py</w:t>
      </w:r>
      <w:r>
        <w:t xml:space="preserve">):</w:t>
      </w:r>
    </w:p>
    <w:p>
      <w:pPr>
        <w:pStyle w:val="CodeLabel"/>
        <w:ind w:left="0"/>
      </w:pPr>
      <w:r>
        <w:t xml:space="preserve">python</w:t>
      </w:r>
    </w:p>
    <w:p>
      <w:pPr>
        <w:pStyle w:val="Code"/>
        <w:shd w:fill="F3F4F6" w:color="auto" w:val="clear"/>
        <w:spacing w:after="0" w:before="40"/>
        <w:ind w:left="0"/>
      </w:pPr>
      <w:r>
        <w:rPr>
          <w:rFonts w:ascii="Consolas" w:cs="Consolas" w:eastAsia="Consolas" w:hAnsi="Consolas"/>
        </w:rPr>
        <w:t xml:space="preserve">import pandas as pd</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b = pd.read_csv("14-data/legacy/borrowers.csv", dtype=str)</w:t>
      </w:r>
    </w:p>
    <w:p>
      <w:pPr>
        <w:pStyle w:val="Code"/>
        <w:shd w:fill="F3F4F6" w:color="auto" w:val="clear"/>
        <w:spacing w:after="0" w:before="0"/>
        <w:ind w:left="0"/>
      </w:pPr>
      <w:r>
        <w:rPr>
          <w:rFonts w:ascii="Consolas" w:cs="Consolas" w:eastAsia="Consolas" w:hAnsi="Consolas"/>
        </w:rPr>
        <w:t xml:space="preserve">h = pd.read_csv("14-data/legacy/households.csv", dtype=str)</w:t>
      </w:r>
    </w:p>
    <w:p>
      <w:pPr>
        <w:pStyle w:val="Code"/>
        <w:shd w:fill="F3F4F6" w:color="auto" w:val="clear"/>
        <w:spacing w:after="0" w:before="0"/>
        <w:ind w:left="0"/>
      </w:pPr>
      <w:r>
        <w:rPr>
          <w:rFonts w:ascii="Consolas" w:cs="Consolas" w:eastAsia="Consolas" w:hAnsi="Consolas"/>
        </w:rPr>
        <w:t xml:space="preserve">d = pd.read_csv("14-data/legacy/deals.csv", dtype={"LOAN_AMOUNT": float, "PURCHASE_PRICE": float})</w:t>
      </w:r>
    </w:p>
    <w:p>
      <w:pPr>
        <w:pStyle w:val="Code"/>
        <w:shd w:fill="F3F4F6" w:color="auto" w:val="clear"/>
        <w:spacing w:after="0" w:before="0"/>
        <w:ind w:left="0"/>
      </w:pPr>
      <w:r>
        <w:rPr>
          <w:rFonts w:ascii="Consolas" w:cs="Consolas" w:eastAsia="Consolas" w:hAnsi="Consolas"/>
        </w:rPr>
        <w:t xml:space="preserve">users = pd.read_csv("14-data/user_map.csv", dtype=str)          # OWNER_EMAIL,SF_USER_ID</w:t>
      </w:r>
    </w:p>
    <w:p>
      <w:pPr>
        <w:pStyle w:val="Code"/>
        <w:shd w:fill="F3F4F6" w:color="auto" w:val="clear"/>
        <w:spacing w:after="0" w:before="0"/>
        <w:ind w:left="0"/>
      </w:pPr>
      <w:r>
        <w:rPr>
          <w:rFonts w:ascii="Consolas" w:cs="Consolas" w:eastAsia="Consolas" w:hAnsi="Consolas"/>
        </w:rPr>
        <w:t xml:space="preserve">postal_ok = b.POSTAL.fillna("").str.upper().str.match(r"^[A-Z]\d[A-Z] ?\d[A-Z]\d$")</w:t>
      </w:r>
    </w:p>
    <w:p>
      <w:pPr>
        <w:pStyle w:val="Code"/>
        <w:shd w:fill="F3F4F6" w:color="auto" w:val="clear"/>
        <w:spacing w:after="0" w:before="0"/>
        <w:ind w:left="0"/>
      </w:pPr>
      <w:r>
        <w:rPr>
          <w:rFonts w:ascii="Consolas" w:cs="Consolas" w:eastAsia="Consolas" w:hAnsi="Consolas"/>
        </w:rPr>
        <w:t xml:space="preserve">report = {</w:t>
      </w:r>
    </w:p>
    <w:p>
      <w:pPr>
        <w:pStyle w:val="Code"/>
        <w:shd w:fill="F3F4F6" w:color="auto" w:val="clear"/>
        <w:spacing w:after="0" w:before="0"/>
        <w:ind w:left="0"/>
      </w:pPr>
      <w:r>
        <w:rPr>
          <w:rFonts w:ascii="Consolas" w:cs="Consolas" w:eastAsia="Consolas" w:hAnsi="Consolas"/>
        </w:rPr>
        <w:t xml:space="preserve">    "borrowers": len(b),</w:t>
      </w:r>
    </w:p>
    <w:p>
      <w:pPr>
        <w:pStyle w:val="Code"/>
        <w:shd w:fill="F3F4F6" w:color="auto" w:val="clear"/>
        <w:spacing w:after="0" w:before="0"/>
        <w:ind w:left="0"/>
      </w:pPr>
      <w:r>
        <w:rPr>
          <w:rFonts w:ascii="Consolas" w:cs="Consolas" w:eastAsia="Consolas" w:hAnsi="Consolas"/>
        </w:rPr>
        <w:t xml:space="preserve">    "households": len(h),</w:t>
      </w:r>
    </w:p>
    <w:p>
      <w:pPr>
        <w:pStyle w:val="Code"/>
        <w:shd w:fill="F3F4F6" w:color="auto" w:val="clear"/>
        <w:spacing w:after="0" w:before="0"/>
        <w:ind w:left="0"/>
      </w:pPr>
      <w:r>
        <w:rPr>
          <w:rFonts w:ascii="Consolas" w:cs="Consolas" w:eastAsia="Consolas" w:hAnsi="Consolas"/>
        </w:rPr>
        <w:t xml:space="preserve">    "orphan_borrowers": int((~b.LEGACY_HH_ID.isin(h.LEGACY_HH_ID)).sum()),</w:t>
      </w:r>
    </w:p>
    <w:p>
      <w:pPr>
        <w:pStyle w:val="Code"/>
        <w:shd w:fill="F3F4F6" w:color="auto" w:val="clear"/>
        <w:spacing w:after="0" w:before="0"/>
        <w:ind w:left="0"/>
      </w:pPr>
      <w:r>
        <w:rPr>
          <w:rFonts w:ascii="Consolas" w:cs="Consolas" w:eastAsia="Consolas" w:hAnsi="Consolas"/>
        </w:rPr>
        <w:t xml:space="preserve">    "invalid_postal_codes": int((~postal_ok).sum()),</w:t>
      </w:r>
    </w:p>
    <w:p>
      <w:pPr>
        <w:pStyle w:val="Code"/>
        <w:shd w:fill="F3F4F6" w:color="auto" w:val="clear"/>
        <w:spacing w:after="0" w:before="0"/>
        <w:ind w:left="0"/>
      </w:pPr>
      <w:r>
        <w:rPr>
          <w:rFonts w:ascii="Consolas" w:cs="Consolas" w:eastAsia="Consolas" w:hAnsi="Consolas"/>
        </w:rPr>
        <w:t xml:space="preserve">    "missing_email": int(b.EMAIL.isna().sum()),</w:t>
      </w:r>
    </w:p>
    <w:p>
      <w:pPr>
        <w:pStyle w:val="Code"/>
        <w:shd w:fill="F3F4F6" w:color="auto" w:val="clear"/>
        <w:spacing w:after="0" w:before="0"/>
        <w:ind w:left="0"/>
      </w:pPr>
      <w:r>
        <w:rPr>
          <w:rFonts w:ascii="Consolas" w:cs="Consolas" w:eastAsia="Consolas" w:hAnsi="Consolas"/>
        </w:rPr>
        <w:t xml:space="preserve">    "duplicate_emails_case_insensitive": int(b.EMAIL.str.lower().duplicated(keep=False).sum()),</w:t>
      </w:r>
    </w:p>
    <w:p>
      <w:pPr>
        <w:pStyle w:val="Code"/>
        <w:shd w:fill="F3F4F6" w:color="auto" w:val="clear"/>
        <w:spacing w:after="0" w:before="0"/>
        <w:ind w:left="0"/>
      </w:pPr>
      <w:r>
        <w:rPr>
          <w:rFonts w:ascii="Consolas" w:cs="Consolas" w:eastAsia="Consolas" w:hAnsi="Consolas"/>
        </w:rPr>
        <w:t xml:space="preserve">    "province_spellings": sorted(b.PROV.dropna().unique().tolist()),</w:t>
      </w:r>
    </w:p>
    <w:p>
      <w:pPr>
        <w:pStyle w:val="Code"/>
        <w:shd w:fill="F3F4F6" w:color="auto" w:val="clear"/>
        <w:spacing w:after="0" w:before="0"/>
        <w:ind w:left="0"/>
      </w:pPr>
      <w:r>
        <w:rPr>
          <w:rFonts w:ascii="Consolas" w:cs="Consolas" w:eastAsia="Consolas" w:hAnsi="Consolas"/>
        </w:rPr>
        <w:t xml:space="preserve">    "owners_without_user": sorted(set(h.OWNER_EMAIL) - set(users.OWNER_EMAIL)),</w:t>
      </w:r>
    </w:p>
    <w:p>
      <w:pPr>
        <w:pStyle w:val="Code"/>
        <w:shd w:fill="F3F4F6" w:color="auto" w:val="clear"/>
        <w:spacing w:after="0" w:before="0"/>
        <w:ind w:left="0"/>
      </w:pPr>
      <w:r>
        <w:rPr>
          <w:rFonts w:ascii="Consolas" w:cs="Consolas" w:eastAsia="Consolas" w:hAnsi="Consolas"/>
        </w:rPr>
        <w:t xml:space="preserve">    "in_flight_deals": len(d),</w:t>
      </w:r>
    </w:p>
    <w:p>
      <w:pPr>
        <w:pStyle w:val="Code"/>
        <w:shd w:fill="F3F4F6" w:color="auto" w:val="clear"/>
        <w:spacing w:after="0" w:before="0"/>
        <w:ind w:left="0"/>
      </w:pPr>
      <w:r>
        <w:rPr>
          <w:rFonts w:ascii="Consolas" w:cs="Consolas" w:eastAsia="Consolas" w:hAnsi="Consolas"/>
        </w:rPr>
        <w:t xml:space="preserve">    "deals_with_loan_above_price": int((d.LOAN_AMOUNT &gt; d.PURCHASE_PRICE).sum()),</w:t>
      </w:r>
    </w:p>
    <w:p>
      <w:pPr>
        <w:pStyle w:val="Code"/>
        <w:shd w:fill="F3F4F6" w:color="auto" w:val="clear"/>
        <w:spacing w:after="0" w:before="0"/>
        <w:ind w:left="0"/>
      </w:pPr>
      <w:r>
        <w:rPr>
          <w:rFonts w:ascii="Consolas" w:cs="Consolas" w:eastAsia="Consolas" w:hAnsi="Consolas"/>
        </w:rPr>
        <w:t xml:space="preserve">}</w:t>
      </w:r>
    </w:p>
    <w:p>
      <w:pPr>
        <w:pStyle w:val="Code"/>
        <w:shd w:fill="F3F4F6" w:color="auto" w:val="clear"/>
        <w:spacing w:after="160" w:before="0"/>
        <w:ind w:left="0"/>
      </w:pPr>
      <w:r>
        <w:rPr>
          <w:rFonts w:ascii="Consolas" w:cs="Consolas" w:eastAsia="Consolas" w:hAnsi="Consolas"/>
        </w:rPr>
        <w:t xml:space="preserve">print(pd.Series(report).to_string())</w:t>
      </w:r>
    </w:p>
    <w:p>
      <w:pPr>
        <w:spacing w:after="120"/>
      </w:pPr>
      <w:r>
        <w:t xml:space="preserve">Every finding becomes a rule in the mapping spec or a decision ("orphans load into a quarantine queue, not a catch-all household" — DM4; "a deal whose loan exceeds the price is held back for a specialist").</w:t>
      </w:r>
    </w:p>
    <w:p>
      <w:pPr>
        <w:pStyle w:val="Heading2"/>
      </w:pPr>
      <w:r>
        <w:t xml:space="preserve">MG3 — Mapping specification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71"/>
        <w:gridCol w:w="4192"/>
        <w:gridCol w:w="3617"/>
      </w:tblGrid>
      <w:tr>
        <w:trPr>
          <w:cantSplit/>
          <w:tblHeader/>
        </w:trPr>
        <w:tc>
          <w:tcPr>
            <w:tcW w:type="dxa" w:w="2271"/>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Source</w:t>
            </w:r>
          </w:p>
        </w:tc>
        <w:tc>
          <w:tcPr>
            <w:tcW w:type="dxa" w:w="4192"/>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Target</w:t>
            </w:r>
          </w:p>
        </w:tc>
        <w:tc>
          <w:tcPr>
            <w:tcW w:type="dxa" w:w="3617"/>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Rule</w:t>
            </w:r>
          </w:p>
        </w:tc>
      </w:tr>
      <w:tr>
        <w:trPr>
          <w:cantSplit/>
        </w:trPr>
        <w:tc>
          <w:tcPr>
            <w:tcW w:type="dxa" w:w="22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6"/>
                <w:szCs w:val="16"/>
                <w:shd w:fill="EEF0F3" w:color="auto" w:val="clear"/>
              </w:rPr>
              <w:t xml:space="preserve">LEGACY_HH_ID</w:t>
            </w:r>
          </w:p>
        </w:tc>
        <w:tc>
          <w:tcPr>
            <w:tcW w:type="dxa" w:w="41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6"/>
                <w:szCs w:val="16"/>
                <w:shd w:fill="EEF0F3" w:color="auto" w:val="clear"/>
              </w:rPr>
              <w:t xml:space="preserve">Account.Legacy_Id__c</w:t>
            </w:r>
            <w:r>
              <w:rPr>
                <w:b w:val="false"/>
                <w:bCs w:val="false"/>
                <w:sz w:val="17"/>
                <w:szCs w:val="17"/>
              </w:rPr>
              <w:t xml:space="preserve"> (External ID, unique)</w:t>
            </w:r>
          </w:p>
        </w:tc>
        <w:tc>
          <w:tcPr>
            <w:tcW w:type="dxa" w:w="361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Every migrated object gets </w:t>
            </w:r>
            <w:r>
              <w:rPr>
                <w:rFonts w:ascii="Consolas" w:cs="Consolas" w:eastAsia="Consolas" w:hAnsi="Consolas"/>
                <w:b w:val="false"/>
                <w:bCs w:val="false"/>
                <w:sz w:val="16"/>
                <w:szCs w:val="16"/>
                <w:shd w:fill="EEF0F3" w:color="auto" w:val="clear"/>
              </w:rPr>
              <w:t xml:space="preserve">Legacy_Id__c</w:t>
            </w:r>
          </w:p>
        </w:tc>
      </w:tr>
      <w:tr>
        <w:trPr>
          <w:cantSplit/>
        </w:trPr>
        <w:tc>
          <w:tcPr>
            <w:tcW w:type="dxa" w:w="22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6"/>
                <w:szCs w:val="16"/>
                <w:shd w:fill="EEF0F3" w:color="auto" w:val="clear"/>
              </w:rPr>
              <w:t xml:space="preserve">NAME</w:t>
            </w:r>
          </w:p>
        </w:tc>
        <w:tc>
          <w:tcPr>
            <w:tcW w:type="dxa" w:w="41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6"/>
                <w:szCs w:val="16"/>
                <w:shd w:fill="EEF0F3" w:color="auto" w:val="clear"/>
              </w:rPr>
              <w:t xml:space="preserve">Account.Name</w:t>
            </w:r>
            <w:r>
              <w:rPr>
                <w:b w:val="false"/>
                <w:bCs w:val="false"/>
                <w:sz w:val="17"/>
                <w:szCs w:val="17"/>
              </w:rPr>
              <w:t xml:space="preserve">; RecordType </w:t>
            </w:r>
            <w:r>
              <w:rPr>
                <w:rFonts w:ascii="Consolas" w:cs="Consolas" w:eastAsia="Consolas" w:hAnsi="Consolas"/>
                <w:b w:val="false"/>
                <w:bCs w:val="false"/>
                <w:sz w:val="16"/>
                <w:szCs w:val="16"/>
                <w:shd w:fill="EEF0F3" w:color="auto" w:val="clear"/>
              </w:rPr>
              <w:t xml:space="preserve">Household</w:t>
            </w:r>
          </w:p>
        </w:tc>
        <w:tc>
          <w:tcPr>
            <w:tcW w:type="dxa" w:w="361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Trim; title case</w:t>
            </w:r>
          </w:p>
        </w:tc>
      </w:tr>
      <w:tr>
        <w:trPr>
          <w:cantSplit/>
        </w:trPr>
        <w:tc>
          <w:tcPr>
            <w:tcW w:type="dxa" w:w="22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6"/>
                <w:szCs w:val="16"/>
                <w:shd w:fill="EEF0F3" w:color="auto" w:val="clear"/>
              </w:rPr>
              <w:t xml:space="preserve">OWNER_EMAIL</w:t>
            </w:r>
          </w:p>
        </w:tc>
        <w:tc>
          <w:tcPr>
            <w:tcW w:type="dxa" w:w="41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6"/>
                <w:szCs w:val="16"/>
                <w:shd w:fill="EEF0F3" w:color="auto" w:val="clear"/>
              </w:rPr>
              <w:t xml:space="preserve">Account.OwnerId</w:t>
            </w:r>
          </w:p>
        </w:tc>
        <w:tc>
          <w:tcPr>
            <w:tcW w:type="dxa" w:w="361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Resolve through the user map; departed specialists → the branch manager by branch, </w:t>
            </w:r>
            <w:r>
              <w:rPr>
                <w:b/>
                <w:bCs/>
                <w:sz w:val="17"/>
                <w:szCs w:val="17"/>
              </w:rPr>
              <w:t xml:space="preserve">spread</w:t>
            </w:r>
            <w:r>
              <w:rPr>
                <w:b w:val="false"/>
                <w:bCs w:val="false"/>
                <w:sz w:val="17"/>
                <w:szCs w:val="17"/>
              </w:rPr>
              <w:t xml:space="preserve"> to avoid ownership skew</w:t>
            </w:r>
          </w:p>
        </w:tc>
      </w:tr>
      <w:tr>
        <w:trPr>
          <w:cantSplit/>
        </w:trPr>
        <w:tc>
          <w:tcPr>
            <w:tcW w:type="dxa" w:w="22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6"/>
                <w:szCs w:val="16"/>
                <w:shd w:fill="EEF0F3" w:color="auto" w:val="clear"/>
              </w:rPr>
              <w:t xml:space="preserve">LEGACY_BORROWER_ID</w:t>
            </w:r>
          </w:p>
        </w:tc>
        <w:tc>
          <w:tcPr>
            <w:tcW w:type="dxa" w:w="41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6"/>
                <w:szCs w:val="16"/>
                <w:shd w:fill="EEF0F3" w:color="auto" w:val="clear"/>
              </w:rPr>
              <w:t xml:space="preserve">Contact.Legacy_Id__c</w:t>
            </w:r>
          </w:p>
        </w:tc>
        <w:tc>
          <w:tcPr>
            <w:tcW w:type="dxa" w:w="361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6"/>
                <w:szCs w:val="16"/>
                <w:shd w:fill="EEF0F3" w:color="auto" w:val="clear"/>
              </w:rPr>
              <w:t xml:space="preserve">D…</w:t>
            </w:r>
            <w:r>
              <w:rPr>
                <w:b w:val="false"/>
                <w:bCs w:val="false"/>
                <w:sz w:val="17"/>
                <w:szCs w:val="17"/>
              </w:rPr>
              <w:t xml:space="preserve"> near-duplicates go to the duplicate review list, not the load</w:t>
            </w:r>
          </w:p>
        </w:tc>
      </w:tr>
      <w:tr>
        <w:trPr>
          <w:cantSplit/>
        </w:trPr>
        <w:tc>
          <w:tcPr>
            <w:tcW w:type="dxa" w:w="22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6"/>
                <w:szCs w:val="16"/>
                <w:shd w:fill="EEF0F3" w:color="auto" w:val="clear"/>
              </w:rPr>
              <w:t xml:space="preserve">LEGACY_HH_ID</w:t>
            </w:r>
          </w:p>
        </w:tc>
        <w:tc>
          <w:tcPr>
            <w:tcW w:type="dxa" w:w="41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Contact column </w:t>
            </w:r>
            <w:r>
              <w:rPr>
                <w:rFonts w:ascii="Consolas" w:cs="Consolas" w:eastAsia="Consolas" w:hAnsi="Consolas"/>
                <w:b w:val="false"/>
                <w:bCs w:val="false"/>
                <w:sz w:val="16"/>
                <w:szCs w:val="16"/>
                <w:shd w:fill="EEF0F3" w:color="auto" w:val="clear"/>
              </w:rPr>
              <w:t xml:space="preserve">Account.Legacy_Id__c</w:t>
            </w:r>
          </w:p>
        </w:tc>
        <w:tc>
          <w:tcPr>
            <w:tcW w:type="dxa" w:w="361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Relationship by external ID; no Salesforce IDs needed</w:t>
            </w:r>
          </w:p>
        </w:tc>
      </w:tr>
      <w:tr>
        <w:trPr>
          <w:cantSplit/>
        </w:trPr>
        <w:tc>
          <w:tcPr>
            <w:tcW w:type="dxa" w:w="22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6"/>
                <w:szCs w:val="16"/>
                <w:shd w:fill="EEF0F3" w:color="auto" w:val="clear"/>
              </w:rPr>
              <w:t xml:space="preserve">PROV</w:t>
            </w:r>
          </w:p>
        </w:tc>
        <w:tc>
          <w:tcPr>
            <w:tcW w:type="dxa" w:w="41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6"/>
                <w:szCs w:val="16"/>
                <w:shd w:fill="EEF0F3" w:color="auto" w:val="clear"/>
              </w:rPr>
              <w:t xml:space="preserve">MailingStateCode</w:t>
            </w:r>
          </w:p>
        </w:tc>
        <w:tc>
          <w:tcPr>
            <w:tcW w:type="dxa" w:w="361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Map spellings to codes (</w:t>
            </w:r>
            <w:r>
              <w:rPr>
                <w:rFonts w:ascii="Consolas" w:cs="Consolas" w:eastAsia="Consolas" w:hAnsi="Consolas"/>
                <w:b w:val="false"/>
                <w:bCs w:val="false"/>
                <w:sz w:val="16"/>
                <w:szCs w:val="16"/>
                <w:shd w:fill="EEF0F3" w:color="auto" w:val="clear"/>
              </w:rPr>
              <w:t xml:space="preserve">Ont.</w:t>
            </w:r>
            <w:r>
              <w:rPr>
                <w:b w:val="false"/>
                <w:bCs w:val="false"/>
                <w:sz w:val="17"/>
                <w:szCs w:val="17"/>
              </w:rPr>
              <w:t xml:space="preserve"> → </w:t>
            </w:r>
            <w:r>
              <w:rPr>
                <w:rFonts w:ascii="Consolas" w:cs="Consolas" w:eastAsia="Consolas" w:hAnsi="Consolas"/>
                <w:b w:val="false"/>
                <w:bCs w:val="false"/>
                <w:sz w:val="16"/>
                <w:szCs w:val="16"/>
                <w:shd w:fill="EEF0F3" w:color="auto" w:val="clear"/>
              </w:rPr>
              <w:t xml:space="preserve">ON</w:t>
            </w:r>
            <w:r>
              <w:rPr>
                <w:b w:val="false"/>
                <w:bCs w:val="false"/>
                <w:sz w:val="17"/>
                <w:szCs w:val="17"/>
              </w:rPr>
              <w:t xml:space="preserve">); country </w:t>
            </w:r>
            <w:r>
              <w:rPr>
                <w:rFonts w:ascii="Consolas" w:cs="Consolas" w:eastAsia="Consolas" w:hAnsi="Consolas"/>
                <w:b w:val="false"/>
                <w:bCs w:val="false"/>
                <w:sz w:val="16"/>
                <w:szCs w:val="16"/>
                <w:shd w:fill="EEF0F3" w:color="auto" w:val="clear"/>
              </w:rPr>
              <w:t xml:space="preserve">CA</w:t>
            </w:r>
          </w:p>
        </w:tc>
      </w:tr>
      <w:tr>
        <w:trPr>
          <w:cantSplit/>
        </w:trPr>
        <w:tc>
          <w:tcPr>
            <w:tcW w:type="dxa" w:w="22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6"/>
                <w:szCs w:val="16"/>
                <w:shd w:fill="EEF0F3" w:color="auto" w:val="clear"/>
              </w:rPr>
              <w:t xml:space="preserve">POSTAL</w:t>
            </w:r>
          </w:p>
        </w:tc>
        <w:tc>
          <w:tcPr>
            <w:tcW w:type="dxa" w:w="41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6"/>
                <w:szCs w:val="16"/>
                <w:shd w:fill="EEF0F3" w:color="auto" w:val="clear"/>
              </w:rPr>
              <w:t xml:space="preserve">MailingPostalCode</w:t>
            </w:r>
          </w:p>
        </w:tc>
        <w:tc>
          <w:tcPr>
            <w:tcW w:type="dxa" w:w="361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Upper case, </w:t>
            </w:r>
            <w:r>
              <w:rPr>
                <w:rFonts w:ascii="Consolas" w:cs="Consolas" w:eastAsia="Consolas" w:hAnsi="Consolas"/>
                <w:b w:val="false"/>
                <w:bCs w:val="false"/>
                <w:sz w:val="16"/>
                <w:szCs w:val="16"/>
                <w:shd w:fill="EEF0F3" w:color="auto" w:val="clear"/>
              </w:rPr>
              <w:t xml:space="preserve">A1A 1A1</w:t>
            </w:r>
            <w:r>
              <w:rPr>
                <w:b w:val="false"/>
                <w:bCs w:val="false"/>
                <w:sz w:val="17"/>
                <w:szCs w:val="17"/>
              </w:rPr>
              <w:t xml:space="preserve">; invalid → blank + data-quality task</w:t>
            </w:r>
          </w:p>
        </w:tc>
      </w:tr>
      <w:tr>
        <w:trPr>
          <w:cantSplit/>
        </w:trPr>
        <w:tc>
          <w:tcPr>
            <w:tcW w:type="dxa" w:w="22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6"/>
                <w:szCs w:val="16"/>
                <w:shd w:fill="EEF0F3" w:color="auto" w:val="clear"/>
              </w:rPr>
              <w:t xml:space="preserve">PHONE</w:t>
            </w:r>
          </w:p>
        </w:tc>
        <w:tc>
          <w:tcPr>
            <w:tcW w:type="dxa" w:w="41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6"/>
                <w:szCs w:val="16"/>
                <w:shd w:fill="EEF0F3" w:color="auto" w:val="clear"/>
              </w:rPr>
              <w:t xml:space="preserve">Phone</w:t>
            </w:r>
          </w:p>
        </w:tc>
        <w:tc>
          <w:tcPr>
            <w:tcW w:type="dxa" w:w="361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E.164</w:t>
            </w:r>
          </w:p>
        </w:tc>
      </w:tr>
      <w:tr>
        <w:trPr>
          <w:cantSplit/>
        </w:trPr>
        <w:tc>
          <w:tcPr>
            <w:tcW w:type="dxa" w:w="22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6"/>
                <w:szCs w:val="16"/>
                <w:shd w:fill="EEF0F3" w:color="auto" w:val="clear"/>
              </w:rPr>
              <w:t xml:space="preserve">DOB</w:t>
            </w:r>
          </w:p>
        </w:tc>
        <w:tc>
          <w:tcPr>
            <w:tcW w:type="dxa" w:w="41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6"/>
                <w:szCs w:val="16"/>
                <w:shd w:fill="EEF0F3" w:color="auto" w:val="clear"/>
              </w:rPr>
              <w:t xml:space="preserve">Date_of_Birth__c</w:t>
            </w:r>
            <w:r>
              <w:rPr>
                <w:b w:val="false"/>
                <w:bCs w:val="false"/>
                <w:sz w:val="17"/>
                <w:szCs w:val="17"/>
              </w:rPr>
              <w:t xml:space="preserve">, a custom Date field encrypted in Module 15 SH1 (the standard Birthdate field isn't encryptable ⚠)</w:t>
            </w:r>
          </w:p>
        </w:tc>
        <w:tc>
          <w:tcPr>
            <w:tcW w:type="dxa" w:w="361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ISO date</w:t>
            </w:r>
          </w:p>
        </w:tc>
      </w:tr>
      <w:tr>
        <w:trPr>
          <w:cantSplit/>
        </w:trPr>
        <w:tc>
          <w:tcPr>
            <w:tcW w:type="dxa" w:w="22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6"/>
                <w:szCs w:val="16"/>
                <w:shd w:fill="EEF0F3" w:color="auto" w:val="clear"/>
              </w:rPr>
              <w:t xml:space="preserve">LEGACY_DEAL_ID</w:t>
            </w:r>
            <w:r>
              <w:rPr>
                <w:b w:val="false"/>
                <w:bCs w:val="false"/>
                <w:sz w:val="17"/>
                <w:szCs w:val="17"/>
              </w:rPr>
              <w:t xml:space="preserve">, </w:t>
            </w:r>
            <w:r>
              <w:rPr>
                <w:rFonts w:ascii="Consolas" w:cs="Consolas" w:eastAsia="Consolas" w:hAnsi="Consolas"/>
                <w:b w:val="false"/>
                <w:bCs w:val="false"/>
                <w:sz w:val="16"/>
                <w:szCs w:val="16"/>
                <w:shd w:fill="EEF0F3" w:color="auto" w:val="clear"/>
              </w:rPr>
              <w:t xml:space="preserve">TYPE</w:t>
            </w:r>
            <w:r>
              <w:rPr>
                <w:b w:val="false"/>
                <w:bCs w:val="false"/>
                <w:sz w:val="17"/>
                <w:szCs w:val="17"/>
              </w:rPr>
              <w:t xml:space="preserve">, </w:t>
            </w:r>
            <w:r>
              <w:rPr>
                <w:rFonts w:ascii="Consolas" w:cs="Consolas" w:eastAsia="Consolas" w:hAnsi="Consolas"/>
                <w:b w:val="false"/>
                <w:bCs w:val="false"/>
                <w:sz w:val="16"/>
                <w:szCs w:val="16"/>
                <w:shd w:fill="EEF0F3" w:color="auto" w:val="clear"/>
              </w:rPr>
              <w:t xml:space="preserve">STAGE</w:t>
            </w:r>
          </w:p>
        </w:tc>
        <w:tc>
          <w:tcPr>
            <w:tcW w:type="dxa" w:w="41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6"/>
                <w:szCs w:val="16"/>
                <w:shd w:fill="EEF0F3" w:color="auto" w:val="clear"/>
              </w:rPr>
              <w:t xml:space="preserve">Opportunity.Legacy_Id__c</w:t>
            </w:r>
            <w:r>
              <w:rPr>
                <w:b w:val="false"/>
                <w:bCs w:val="false"/>
                <w:sz w:val="17"/>
                <w:szCs w:val="17"/>
              </w:rPr>
              <w:t xml:space="preserve">, record type, </w:t>
            </w:r>
            <w:r>
              <w:rPr>
                <w:rFonts w:ascii="Consolas" w:cs="Consolas" w:eastAsia="Consolas" w:hAnsi="Consolas"/>
                <w:b w:val="false"/>
                <w:bCs w:val="false"/>
                <w:sz w:val="16"/>
                <w:szCs w:val="16"/>
                <w:shd w:fill="EEF0F3" w:color="auto" w:val="clear"/>
              </w:rPr>
              <w:t xml:space="preserve">StageName</w:t>
            </w:r>
          </w:p>
        </w:tc>
        <w:tc>
          <w:tcPr>
            <w:tcW w:type="dxa" w:w="361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In-flight deals only; conditions and approvals are re-created by people, not migrated as approved</w:t>
            </w:r>
          </w:p>
        </w:tc>
      </w:tr>
    </w:tbl>
    <w:p>
      <w:pPr>
        <w:spacing w:after="120"/>
      </w:pPr>
    </w:p>
    <w:p>
      <w:pPr>
        <w:spacing w:after="120"/>
      </w:pPr>
      <w:r>
        <w:t xml:space="preserve">Polymorphic lookups (Task </w:t>
      </w:r>
      <w:r>
        <w:rPr>
          <w:rFonts w:ascii="Consolas" w:cs="Consolas" w:eastAsia="Consolas" w:hAnsi="Consolas"/>
          <w:sz w:val="19"/>
          <w:szCs w:val="19"/>
          <w:shd w:fill="EEF0F3" w:color="auto" w:val="clear"/>
        </w:rPr>
        <w:t xml:space="preserve">WhoId</w:t>
      </w:r>
      <w:r>
        <w:t xml:space="preserve">/</w:t>
      </w:r>
      <w:r>
        <w:rPr>
          <w:rFonts w:ascii="Consolas" w:cs="Consolas" w:eastAsia="Consolas" w:hAnsi="Consolas"/>
          <w:sz w:val="19"/>
          <w:szCs w:val="19"/>
          <w:shd w:fill="EEF0F3" w:color="auto" w:val="clear"/>
        </w:rPr>
        <w:t xml:space="preserve">WhatId</w:t>
      </w:r>
      <w:r>
        <w:t xml:space="preserve">) can't take an external-ID column reliably: export the loaded Contacts' IDs by </w:t>
      </w:r>
      <w:r>
        <w:rPr>
          <w:rFonts w:ascii="Consolas" w:cs="Consolas" w:eastAsia="Consolas" w:hAnsi="Consolas"/>
          <w:sz w:val="19"/>
          <w:szCs w:val="19"/>
          <w:shd w:fill="EEF0F3" w:color="auto" w:val="clear"/>
        </w:rPr>
        <w:t xml:space="preserve">Legacy_Id__c</w:t>
      </w:r>
      <w:r>
        <w:t xml:space="preserve"> and join them in pandas before loading activities. Write load files with LF line endings (</w:t>
      </w:r>
      <w:r>
        <w:rPr>
          <w:rFonts w:ascii="Consolas" w:cs="Consolas" w:eastAsia="Consolas" w:hAnsi="Consolas"/>
          <w:sz w:val="19"/>
          <w:szCs w:val="19"/>
          <w:shd w:fill="EEF0F3" w:color="auto" w:val="clear"/>
        </w:rPr>
        <w:t xml:space="preserve">lineterminator="\n"</w:t>
      </w:r>
      <w:r>
        <w:t xml:space="preserve">), which is what Bulk API 2.0 expects by default.</w:t>
      </w:r>
    </w:p>
    <w:p>
      <w:pPr>
        <w:pStyle w:val="Heading2"/>
      </w:pPr>
      <w:r>
        <w:t xml:space="preserve">MG4 — Load sequence and automation bypass</w:t>
      </w:r>
    </w:p>
    <w:p>
      <w:pPr>
        <w:spacing w:after="120"/>
      </w:pPr>
      <w:r>
        <w:t xml:space="preserve">Sequence: Users and roles → Households (Account) → Contacts → Account-Contact Relationships → Opportunities (in-flight deals) → Opportunity Contact Roles → properties, incomes and liabilities → Activities → Cases → Files (ContentVersion through the REST API — Bulk API 2.0 doesn't load binary content). Loans and loan parties arrive separately from servicing (MG1).</w:t>
      </w:r>
    </w:p>
    <w:p>
      <w:pPr>
        <w:spacing w:after="120"/>
      </w:pPr>
      <w:r>
        <w:t xml:space="preserve">Bypass automation for the migration user only, with a custom permission </w:t>
      </w:r>
      <w:r>
        <w:rPr>
          <w:rFonts w:ascii="Consolas" w:cs="Consolas" w:eastAsia="Consolas" w:hAnsi="Consolas"/>
          <w:sz w:val="19"/>
          <w:szCs w:val="19"/>
          <w:shd w:fill="EEF0F3" w:color="auto" w:val="clear"/>
        </w:rPr>
        <w:t xml:space="preserve">Bypass_Automation</w:t>
      </w:r>
      <w:r>
        <w:t xml:space="preserve"> in permission set </w:t>
      </w:r>
      <w:r>
        <w:rPr>
          <w:rFonts w:ascii="Consolas" w:cs="Consolas" w:eastAsia="Consolas" w:hAnsi="Consolas"/>
          <w:sz w:val="19"/>
          <w:szCs w:val="19"/>
          <w:shd w:fill="EEF0F3" w:color="auto" w:val="clear"/>
        </w:rPr>
        <w:t xml:space="preserve">PS_Migration_Bypass</w:t>
      </w:r>
      <w:r>
        <w:t xml:space="preserve">:</w:t>
      </w:r>
    </w:p>
    <w:p>
      <w:pPr>
        <w:pStyle w:val="ListParagraph"/>
        <w:numPr>
          <w:ilvl w:val="0"/>
          <w:numId w:val="10"/>
        </w:numPr>
        <w:spacing w:after="60"/>
      </w:pPr>
      <w:r>
        <w:t xml:space="preserve">Validation rules: </w:t>
      </w:r>
      <w:r>
        <w:rPr>
          <w:rFonts w:ascii="Consolas" w:cs="Consolas" w:eastAsia="Consolas" w:hAnsi="Consolas"/>
          <w:sz w:val="19"/>
          <w:szCs w:val="19"/>
          <w:shd w:fill="EEF0F3" w:color="auto" w:val="clear"/>
        </w:rPr>
        <w:t xml:space="preserve">AND(NOT($Permission.Bypass_Automation), &lt;original condition&gt;)</w:t>
      </w:r>
    </w:p>
    <w:p>
      <w:pPr>
        <w:pStyle w:val="ListParagraph"/>
        <w:numPr>
          <w:ilvl w:val="0"/>
          <w:numId w:val="10"/>
        </w:numPr>
        <w:spacing w:after="60"/>
      </w:pPr>
      <w:r>
        <w:t xml:space="preserve">Record-triggered flows: entry condition </w:t>
      </w:r>
      <w:r>
        <w:rPr>
          <w:rFonts w:ascii="Consolas" w:cs="Consolas" w:eastAsia="Consolas" w:hAnsi="Consolas"/>
          <w:sz w:val="19"/>
          <w:szCs w:val="19"/>
          <w:shd w:fill="EEF0F3" w:color="auto" w:val="clear"/>
        </w:rPr>
        <w:t xml:space="preserve">NOT({!$Permission.Bypass_Automation})</w:t>
      </w:r>
      <w:r>
        <w:t xml:space="preserve">. That includes the qualification flow (Project 07), which would otherwise call AWS once for every deal in the load. Afterwards, run qualification as a controlled batch for deals that haven't been decided. For deals that already have a commitment, run it as a comparison only and send any difference to an underwriter, rather than overwriting the figures the decision was based on.</w:t>
      </w:r>
    </w:p>
    <w:p>
      <w:pPr>
        <w:pStyle w:val="ListParagraph"/>
        <w:numPr>
          <w:ilvl w:val="0"/>
          <w:numId w:val="10"/>
        </w:numPr>
        <w:spacing w:after="60"/>
      </w:pPr>
      <w:r>
        <w:t xml:space="preserve">Apex triggers: </w:t>
      </w:r>
      <w:r>
        <w:rPr>
          <w:rFonts w:ascii="Consolas" w:cs="Consolas" w:eastAsia="Consolas" w:hAnsi="Consolas"/>
          <w:sz w:val="19"/>
          <w:szCs w:val="19"/>
          <w:shd w:fill="EEF0F3" w:color="auto" w:val="clear"/>
        </w:rPr>
        <w:t xml:space="preserve">if (FeatureManagement.checkPermission('Bypass_Automation')) return;</w:t>
      </w:r>
    </w:p>
    <w:p>
      <w:pPr>
        <w:spacing w:after="120"/>
      </w:pPr>
      <w:r>
        <w:t xml:space="preserve">Also:</w:t>
      </w:r>
    </w:p>
    <w:p>
      <w:pPr>
        <w:pStyle w:val="ListParagraph"/>
        <w:numPr>
          <w:ilvl w:val="0"/>
          <w:numId w:val="11"/>
        </w:numPr>
        <w:spacing w:after="60"/>
      </w:pPr>
      <w:r>
        <w:t xml:space="preserve">Set email deliverability to </w:t>
      </w:r>
      <w:r>
        <w:rPr>
          <w:b/>
          <w:bCs/>
        </w:rPr>
        <w:t xml:space="preserve">System email only</w:t>
      </w:r>
      <w:r>
        <w:t xml:space="preserve"> during loads, so no borrower gets an accidental email.</w:t>
      </w:r>
    </w:p>
    <w:p>
      <w:pPr>
        <w:pStyle w:val="ListParagraph"/>
        <w:numPr>
          <w:ilvl w:val="0"/>
          <w:numId w:val="11"/>
        </w:numPr>
        <w:spacing w:after="60"/>
      </w:pPr>
      <w:r>
        <w:t xml:space="preserve">Deferred sharing calculation must be enabled by Salesforce Support, so in Developer Edition it's design-only. In production: suspend, load, resume, then run a full recalculation.</w:t>
      </w:r>
    </w:p>
    <w:p>
      <w:pPr>
        <w:pStyle w:val="ListParagraph"/>
        <w:numPr>
          <w:ilvl w:val="0"/>
          <w:numId w:val="11"/>
        </w:numPr>
        <w:spacing w:after="60"/>
      </w:pPr>
      <w:r>
        <w:t xml:space="preserve">Set duplicate rules to report rather than block.</w:t>
      </w:r>
    </w:p>
    <w:p>
      <w:pPr>
        <w:pStyle w:val="ListParagraph"/>
        <w:numPr>
          <w:ilvl w:val="0"/>
          <w:numId w:val="11"/>
        </w:numPr>
        <w:spacing w:after="60"/>
      </w:pPr>
      <w:r>
        <w:t xml:space="preserve">Remove the bypass permission set at the end, and screenshot the removal as evidence.</w:t>
      </w:r>
    </w:p>
    <w:p>
      <w:pPr>
        <w:pStyle w:val="Heading2"/>
      </w:pPr>
      <w:r>
        <w:t xml:space="preserve">MG5 — Execute with the sf CLI (Bulk API 2.0)</w:t>
      </w:r>
    </w:p>
    <w:p>
      <w:pPr>
        <w:pStyle w:val="CodeLabel"/>
        <w:ind w:left="0"/>
      </w:pPr>
      <w:r>
        <w:t xml:space="preserve">bash</w:t>
      </w:r>
    </w:p>
    <w:p>
      <w:pPr>
        <w:pStyle w:val="Code"/>
        <w:shd w:fill="F3F4F6" w:color="auto" w:val="clear"/>
        <w:spacing w:after="0" w:before="40"/>
        <w:ind w:left="0"/>
      </w:pPr>
      <w:r>
        <w:rPr>
          <w:rFonts w:ascii="Consolas" w:cs="Consolas" w:eastAsia="Consolas" w:hAnsi="Consolas"/>
        </w:rPr>
        <w:t xml:space="preserve">sf data upsert bulk --sobject Account --file 14-data/load/accounts.csv --external-id Legacy_Id__c --wait 30 --target-org apex-data</w:t>
      </w:r>
    </w:p>
    <w:p>
      <w:pPr>
        <w:pStyle w:val="Code"/>
        <w:shd w:fill="F3F4F6" w:color="auto" w:val="clear"/>
        <w:spacing w:after="0" w:before="0"/>
        <w:ind w:left="0"/>
      </w:pPr>
      <w:r>
        <w:rPr>
          <w:rFonts w:ascii="Consolas" w:cs="Consolas" w:eastAsia="Consolas" w:hAnsi="Consolas"/>
        </w:rPr>
        <w:t xml:space="preserve">sf data upsert bulk --sobject Contact --file 14-data/load/contacts.csv --external-id Legacy_Id__c --wait 30 --target-org apex-data</w:t>
      </w:r>
    </w:p>
    <w:p>
      <w:pPr>
        <w:pStyle w:val="Code"/>
        <w:shd w:fill="F3F4F6" w:color="auto" w:val="clear"/>
        <w:spacing w:after="0" w:before="0"/>
        <w:ind w:left="0"/>
      </w:pPr>
      <w:r>
        <w:rPr>
          <w:rFonts w:ascii="Consolas" w:cs="Consolas" w:eastAsia="Consolas" w:hAnsi="Consolas"/>
        </w:rPr>
        <w:t xml:space="preserve">sf data upsert bulk --sobject Opportunity --file 14-data/load/deals.csv --external-id Legacy_Id__c --wait 30 --target-org apex-data</w:t>
      </w:r>
    </w:p>
    <w:p>
      <w:pPr>
        <w:pStyle w:val="Code"/>
        <w:shd w:fill="F3F4F6" w:color="auto" w:val="clear"/>
        <w:spacing w:after="160" w:before="0"/>
        <w:ind w:left="0"/>
      </w:pPr>
      <w:r>
        <w:rPr>
          <w:rFonts w:ascii="Consolas" w:cs="Consolas" w:eastAsia="Consolas" w:hAnsi="Consolas"/>
        </w:rPr>
        <w:t xml:space="preserve">sf data bulk results --job-id &lt;job id from the upsert output&gt; --target-org apex-data      # success and failure CSVs</w:t>
      </w:r>
    </w:p>
    <w:p>
      <w:pPr>
        <w:spacing w:after="120"/>
      </w:pPr>
      <w:r>
        <w:t xml:space="preserve">Sort child files by parent before loading (fewer lock conflicts). Re-run only the failures after fixing them; upserts on </w:t>
      </w:r>
      <w:r>
        <w:rPr>
          <w:rFonts w:ascii="Consolas" w:cs="Consolas" w:eastAsia="Consolas" w:hAnsi="Consolas"/>
          <w:sz w:val="19"/>
          <w:szCs w:val="19"/>
          <w:shd w:fill="EEF0F3" w:color="auto" w:val="clear"/>
        </w:rPr>
        <w:t xml:space="preserve">Legacy_Id__c</w:t>
      </w:r>
      <w:r>
        <w:t xml:space="preserve"> make reruns safe. Record duration and failures per object for each rehearsal.</w:t>
      </w:r>
    </w:p>
    <w:p>
      <w:pPr>
        <w:pStyle w:val="Heading2"/>
      </w:pPr>
      <w:r>
        <w:t xml:space="preserve">MG6 — Validate and reconcile</w:t>
      </w:r>
    </w:p>
    <w:p>
      <w:pPr>
        <w:pStyle w:val="CodeLabel"/>
        <w:ind w:left="0"/>
      </w:pPr>
      <w:r>
        <w:t xml:space="preserve">bash</w:t>
      </w:r>
    </w:p>
    <w:p>
      <w:pPr>
        <w:pStyle w:val="Code"/>
        <w:shd w:fill="F3F4F6" w:color="auto" w:val="clear"/>
        <w:spacing w:after="0" w:before="40"/>
        <w:ind w:left="0"/>
      </w:pPr>
      <w:r>
        <w:rPr>
          <w:rFonts w:ascii="Consolas" w:cs="Consolas" w:eastAsia="Consolas" w:hAnsi="Consolas"/>
        </w:rPr>
        <w:t xml:space="preserve">sf data export bulk --query "SELECT Legacy_Id__c, Account.Legacy_Id__c, Email FROM Contact WHERE Legacy_Id__c != null" \</w:t>
      </w:r>
    </w:p>
    <w:p>
      <w:pPr>
        <w:pStyle w:val="Code"/>
        <w:shd w:fill="F3F4F6" w:color="auto" w:val="clear"/>
        <w:spacing w:after="160" w:before="0"/>
        <w:ind w:left="0"/>
      </w:pPr>
      <w:r>
        <w:rPr>
          <w:rFonts w:ascii="Consolas" w:cs="Consolas" w:eastAsia="Consolas" w:hAnsi="Consolas"/>
        </w:rPr>
        <w:t xml:space="preserve">  --output-file 14-data/recon/sf_contacts.csv --result-format csv --wait 10 --target-org apex-data</w:t>
      </w:r>
    </w:p>
    <w:p>
      <w:pPr>
        <w:pStyle w:val="CodeLabel"/>
        <w:ind w:left="0"/>
      </w:pPr>
      <w:r>
        <w:t xml:space="preserve">python</w:t>
      </w:r>
    </w:p>
    <w:p>
      <w:pPr>
        <w:pStyle w:val="Code"/>
        <w:shd w:fill="F3F4F6" w:color="auto" w:val="clear"/>
        <w:spacing w:after="0" w:before="40"/>
        <w:ind w:left="0"/>
      </w:pPr>
      <w:r>
        <w:rPr>
          <w:rFonts w:ascii="Consolas" w:cs="Consolas" w:eastAsia="Consolas" w:hAnsi="Consolas"/>
        </w:rPr>
        <w:t xml:space="preserve">import pandas as pd</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src = pd.read_csv("14-data/load/contacts.csv", dtype=str)</w:t>
      </w:r>
    </w:p>
    <w:p>
      <w:pPr>
        <w:pStyle w:val="Code"/>
        <w:shd w:fill="F3F4F6" w:color="auto" w:val="clear"/>
        <w:spacing w:after="0" w:before="0"/>
        <w:ind w:left="0"/>
      </w:pPr>
      <w:r>
        <w:rPr>
          <w:rFonts w:ascii="Consolas" w:cs="Consolas" w:eastAsia="Consolas" w:hAnsi="Consolas"/>
        </w:rPr>
        <w:t xml:space="preserve">tgt = pd.read_csv("14-data/recon/sf_contacts.csv", dtype=str)</w:t>
      </w:r>
    </w:p>
    <w:p>
      <w:pPr>
        <w:pStyle w:val="Code"/>
        <w:shd w:fill="F3F4F6" w:color="auto" w:val="clear"/>
        <w:spacing w:after="0" w:before="0"/>
        <w:ind w:left="0"/>
      </w:pPr>
      <w:r>
        <w:rPr>
          <w:rFonts w:ascii="Consolas" w:cs="Consolas" w:eastAsia="Consolas" w:hAnsi="Consolas"/>
        </w:rPr>
        <w:t xml:space="preserve">missing = set(src.Legacy_Id__c) - set(tgt.Legacy_Id__c)</w:t>
      </w:r>
    </w:p>
    <w:p>
      <w:pPr>
        <w:pStyle w:val="Code"/>
        <w:shd w:fill="F3F4F6" w:color="auto" w:val="clear"/>
        <w:spacing w:after="0" w:before="0"/>
        <w:ind w:left="0"/>
      </w:pPr>
      <w:r>
        <w:rPr>
          <w:rFonts w:ascii="Consolas" w:cs="Consolas" w:eastAsia="Consolas" w:hAnsi="Consolas"/>
        </w:rPr>
        <w:t xml:space="preserve">unexpected = set(tgt.Legacy_Id__c) - set(src.Legacy_Id__c)</w:t>
      </w:r>
    </w:p>
    <w:p>
      <w:pPr>
        <w:pStyle w:val="Code"/>
        <w:shd w:fill="F3F4F6" w:color="auto" w:val="clear"/>
        <w:spacing w:after="0" w:before="0"/>
        <w:ind w:left="0"/>
      </w:pPr>
      <w:r>
        <w:rPr>
          <w:rFonts w:ascii="Consolas" w:cs="Consolas" w:eastAsia="Consolas" w:hAnsi="Consolas"/>
        </w:rPr>
        <w:t xml:space="preserve">both = src.merge(tgt, on="Legacy_Id__c", suffixes=("_src", "_sf"))</w:t>
      </w:r>
    </w:p>
    <w:p>
      <w:pPr>
        <w:pStyle w:val="Code"/>
        <w:shd w:fill="F3F4F6" w:color="auto" w:val="clear"/>
        <w:spacing w:after="0" w:before="0"/>
        <w:ind w:left="0"/>
      </w:pPr>
      <w:r>
        <w:rPr>
          <w:rFonts w:ascii="Consolas" w:cs="Consolas" w:eastAsia="Consolas" w:hAnsi="Consolas"/>
        </w:rPr>
        <w:t xml:space="preserve">sample = both.sample(n=min(200, len(both)), random_state=14)</w:t>
      </w:r>
    </w:p>
    <w:p>
      <w:pPr>
        <w:pStyle w:val="Code"/>
        <w:shd w:fill="F3F4F6" w:color="auto" w:val="clear"/>
        <w:spacing w:after="0" w:before="0"/>
        <w:ind w:left="0"/>
      </w:pPr>
      <w:r>
        <w:rPr>
          <w:rFonts w:ascii="Consolas" w:cs="Consolas" w:eastAsia="Consolas" w:hAnsi="Consolas"/>
        </w:rPr>
        <w:t xml:space="preserve">mismatched = sample[sample.Email_src.str.lower() != sample.Email_sf.str.lower()]</w:t>
      </w:r>
    </w:p>
    <w:p>
      <w:pPr>
        <w:pStyle w:val="Code"/>
        <w:shd w:fill="F3F4F6" w:color="auto" w:val="clear"/>
        <w:spacing w:after="0" w:before="0"/>
        <w:ind w:left="0"/>
      </w:pPr>
      <w:r>
        <w:rPr>
          <w:rFonts w:ascii="Consolas" w:cs="Consolas" w:eastAsia="Consolas" w:hAnsi="Consolas"/>
        </w:rPr>
        <w:t xml:space="preserve">print({"source": len(src), "loaded": len(tgt), "missing": len(missing),</w:t>
      </w:r>
    </w:p>
    <w:p>
      <w:pPr>
        <w:pStyle w:val="Code"/>
        <w:shd w:fill="F3F4F6" w:color="auto" w:val="clear"/>
        <w:spacing w:after="160" w:before="0"/>
        <w:ind w:left="0"/>
      </w:pPr>
      <w:r>
        <w:rPr>
          <w:rFonts w:ascii="Consolas" w:cs="Consolas" w:eastAsia="Consolas" w:hAnsi="Consolas"/>
        </w:rPr>
        <w:t xml:space="preserve">       "unexpected": len(unexpected), "sample_size": len(sample), "sample_mismatches": len(mismatched)})</w:t>
      </w:r>
    </w:p>
    <w:p>
      <w:pPr>
        <w:spacing w:after="120"/>
      </w:pPr>
      <w:r>
        <w:t xml:space="preserve">Also reconcile control totals (the sum of in-flight loan amounts per branch, source vs target; the count of loans and total principal per branch, servicing vs </w:t>
      </w:r>
      <w:r>
        <w:rPr>
          <w:rFonts w:ascii="Consolas" w:cs="Consolas" w:eastAsia="Consolas" w:hAnsi="Consolas"/>
          <w:sz w:val="19"/>
          <w:szCs w:val="19"/>
          <w:shd w:fill="EEF0F3" w:color="auto" w:val="clear"/>
        </w:rPr>
        <w:t xml:space="preserve">Loan__c</w:t>
      </w:r>
      <w:r>
        <w:t xml:space="preserve">) and orphans (Contacts without an Account). The reconciliation report is the go/no-go evidence.</w:t>
      </w:r>
    </w:p>
    <w:p>
      <w:pPr>
        <w:pStyle w:val="Heading2"/>
      </w:pPr>
      <w:r>
        <w:t xml:space="preserve">MG7 — Cutover runbook and rollback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10"/>
        <w:gridCol w:w="8270"/>
      </w:tblGrid>
      <w:tr>
        <w:trPr>
          <w:cantSplit/>
          <w:tblHeader/>
        </w:trPr>
        <w:tc>
          <w:tcPr>
            <w:tcW w:type="dxa" w:w="181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When</w:t>
            </w:r>
          </w:p>
        </w:tc>
        <w:tc>
          <w:tcPr>
            <w:tcW w:type="dxa" w:w="827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Step</w:t>
            </w:r>
          </w:p>
        </w:tc>
      </w:tr>
      <w:tr>
        <w:trPr>
          <w:cantSplit/>
        </w:trPr>
        <w:tc>
          <w:tcPr>
            <w:tcW w:type="dxa" w:w="18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T-14 days</w:t>
            </w:r>
          </w:p>
        </w:tc>
        <w:tc>
          <w:tcPr>
            <w:tcW w:type="dxa" w:w="827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Full rehearsal with timings; sign-off on the reconciliation report</w:t>
            </w:r>
          </w:p>
        </w:tc>
      </w:tr>
      <w:tr>
        <w:trPr>
          <w:cantSplit/>
        </w:trPr>
        <w:tc>
          <w:tcPr>
            <w:tcW w:type="dxa" w:w="18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T-2</w:t>
            </w:r>
          </w:p>
        </w:tc>
        <w:tc>
          <w:tcPr>
            <w:tcW w:type="dxa" w:w="827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Freeze changes in the legacy CRM (read-only); final metadata deploy; bypass permission assigned</w:t>
            </w:r>
          </w:p>
        </w:tc>
      </w:tr>
      <w:tr>
        <w:trPr>
          <w:cantSplit/>
        </w:trPr>
        <w:tc>
          <w:tcPr>
            <w:tcW w:type="dxa" w:w="18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T-0</w:t>
            </w:r>
          </w:p>
        </w:tc>
        <w:tc>
          <w:tcPr>
            <w:tcW w:type="dxa" w:w="827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Full load (or delta since the last rehearsal using the </w:t>
            </w:r>
            <w:r>
              <w:rPr>
                <w:rFonts w:ascii="Consolas" w:cs="Consolas" w:eastAsia="Consolas" w:hAnsi="Consolas"/>
                <w:b w:val="false"/>
                <w:bCs w:val="false"/>
                <w:sz w:val="16"/>
                <w:szCs w:val="16"/>
                <w:shd w:fill="EEF0F3" w:color="auto" w:val="clear"/>
              </w:rPr>
              <w:t xml:space="preserve">MODIFIED</w:t>
            </w:r>
            <w:r>
              <w:rPr>
                <w:b w:val="false"/>
                <w:bCs w:val="false"/>
                <w:sz w:val="17"/>
                <w:szCs w:val="17"/>
              </w:rPr>
              <w:t xml:space="preserve"> watermark); loans from servicing; reconcile; spot-checks by two specialists and an underwriter</w:t>
            </w:r>
          </w:p>
        </w:tc>
      </w:tr>
      <w:tr>
        <w:trPr>
          <w:cantSplit/>
        </w:trPr>
        <w:tc>
          <w:tcPr>
            <w:tcW w:type="dxa" w:w="18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T-0 go/no-go</w:t>
            </w:r>
          </w:p>
        </w:tc>
        <w:tc>
          <w:tcPr>
            <w:tcW w:type="dxa" w:w="827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Criteria: 0 missing parents, &lt; 0.5% field mismatches in the sample, loan counts and principal totals match servicing, deals closing in the next 14 days checked by hand, smoke tests pass</w:t>
            </w:r>
          </w:p>
        </w:tc>
      </w:tr>
      <w:tr>
        <w:trPr>
          <w:cantSplit/>
        </w:trPr>
        <w:tc>
          <w:tcPr>
            <w:tcW w:type="dxa" w:w="18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T+0</w:t>
            </w:r>
          </w:p>
        </w:tc>
        <w:tc>
          <w:tcPr>
            <w:tcW w:type="dxa" w:w="827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Remove the bypass; re-enable email; recalculate sharing; run the qualification batch (MG4); open to users</w:t>
            </w:r>
          </w:p>
        </w:tc>
      </w:tr>
      <w:tr>
        <w:trPr>
          <w:cantSplit/>
        </w:trPr>
        <w:tc>
          <w:tcPr>
            <w:tcW w:type="dxa" w:w="18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T+1…5</w:t>
            </w:r>
          </w:p>
        </w:tc>
        <w:tc>
          <w:tcPr>
            <w:tcW w:type="dxa" w:w="827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Hypercare: daily data-quality dashboard, issue log, a named contact for every deal closing that week</w:t>
            </w:r>
          </w:p>
        </w:tc>
      </w:tr>
      <w:tr>
        <w:trPr>
          <w:cantSplit/>
        </w:trPr>
        <w:tc>
          <w:tcPr>
            <w:tcW w:type="dxa" w:w="18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Rollback (before go-live)</w:t>
            </w:r>
          </w:p>
        </w:tc>
        <w:tc>
          <w:tcPr>
            <w:tcW w:type="dxa" w:w="827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Bulk hard-delete by </w:t>
            </w:r>
            <w:r>
              <w:rPr>
                <w:rFonts w:ascii="Consolas" w:cs="Consolas" w:eastAsia="Consolas" w:hAnsi="Consolas"/>
                <w:b w:val="false"/>
                <w:bCs w:val="false"/>
                <w:sz w:val="16"/>
                <w:szCs w:val="16"/>
                <w:shd w:fill="EEF0F3" w:color="auto" w:val="clear"/>
              </w:rPr>
              <w:t xml:space="preserve">Legacy_Id__c</w:t>
            </w:r>
            <w:r>
              <w:rPr>
                <w:b w:val="false"/>
                <w:bCs w:val="false"/>
                <w:sz w:val="17"/>
                <w:szCs w:val="17"/>
              </w:rPr>
              <w:t xml:space="preserve">, reload after the fix</w:t>
            </w:r>
          </w:p>
        </w:tc>
      </w:tr>
      <w:tr>
        <w:trPr>
          <w:cantSplit/>
        </w:trPr>
        <w:tc>
          <w:tcPr>
            <w:tcW w:type="dxa" w:w="18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Rollback (after go-live)</w:t>
            </w:r>
          </w:p>
        </w:tc>
        <w:tc>
          <w:tcPr>
            <w:tcW w:type="dxa" w:w="827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Forward-fix only; restore individual records from backup (GV7)</w:t>
            </w:r>
          </w:p>
        </w:tc>
      </w:tr>
    </w:tbl>
    <w:p>
      <w:pPr>
        <w:spacing w:after="120"/>
      </w:pPr>
    </w:p>
    <w:p>
      <w:pPr>
        <w:pStyle w:val="Heading2"/>
      </w:pPr>
      <w:r>
        <w:t xml:space="preserve">MG8 — Optional: move the custom model to Financial Services Cloud</w:t>
      </w:r>
    </w:p>
    <w:p>
      <w:pPr>
        <w:spacing w:after="120"/>
      </w:pPr>
      <w:r>
        <w:t xml:space="preserve">In an FSC trial or developer org (signup links change — search "Financial Services Cloud trial" ⚠), map the Apex model onto FSC's standard objects. FSC on the core platform uses standard objects alongside the older managed package (</w:t>
      </w:r>
      <w:r>
        <w:rPr>
          <w:rFonts w:ascii="Consolas" w:cs="Consolas" w:eastAsia="Consolas" w:hAnsi="Consolas"/>
          <w:sz w:val="19"/>
          <w:szCs w:val="19"/>
          <w:shd w:fill="EEF0F3" w:color="auto" w:val="clear"/>
        </w:rPr>
        <w:t xml:space="preserve">FinServ__</w:t>
      </w:r>
      <w:r>
        <w:t xml:space="preserve"> namespace); don't mix the two models in one org.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713"/>
        <w:gridCol w:w="5367"/>
      </w:tblGrid>
      <w:tr>
        <w:trPr>
          <w:cantSplit/>
          <w:tblHeader/>
        </w:trPr>
        <w:tc>
          <w:tcPr>
            <w:tcW w:type="dxa" w:w="4713"/>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Apex custom model</w:t>
            </w:r>
          </w:p>
        </w:tc>
        <w:tc>
          <w:tcPr>
            <w:tcW w:type="dxa" w:w="5367"/>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FSC equivalent ⚠ confirm API names in Object Manager</w:t>
            </w:r>
          </w:p>
        </w:tc>
      </w:tr>
      <w:tr>
        <w:trPr>
          <w:cantSplit/>
        </w:trPr>
        <w:tc>
          <w:tcPr>
            <w:tcW w:type="dxa" w:w="47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Household Account</w:t>
            </w:r>
          </w:p>
        </w:tc>
        <w:tc>
          <w:tcPr>
            <w:tcW w:type="dxa" w:w="536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Household (Account) and/or Party Relationship Group</w:t>
            </w:r>
          </w:p>
        </w:tc>
      </w:tr>
      <w:tr>
        <w:trPr>
          <w:cantSplit/>
        </w:trPr>
        <w:tc>
          <w:tcPr>
            <w:tcW w:type="dxa" w:w="47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Contact (borrower)</w:t>
            </w:r>
          </w:p>
        </w:tc>
        <w:tc>
          <w:tcPr>
            <w:tcW w:type="dxa" w:w="536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Person Account (FSC's usual choice) or Contact</w:t>
            </w:r>
          </w:p>
        </w:tc>
      </w:tr>
      <w:tr>
        <w:trPr>
          <w:cantSplit/>
        </w:trPr>
        <w:tc>
          <w:tcPr>
            <w:tcW w:type="dxa" w:w="47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Opportunity (deal) + Opportunity Contact Roles</w:t>
            </w:r>
          </w:p>
        </w:tc>
        <w:tc>
          <w:tcPr>
            <w:tcW w:type="dxa" w:w="536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Residential Loan Application + Loan Applicant</w:t>
            </w:r>
          </w:p>
        </w:tc>
      </w:tr>
      <w:tr>
        <w:trPr>
          <w:cantSplit/>
        </w:trPr>
        <w:tc>
          <w:tcPr>
            <w:tcW w:type="dxa" w:w="47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6"/>
                <w:szCs w:val="16"/>
                <w:shd w:fill="EEF0F3" w:color="auto" w:val="clear"/>
              </w:rPr>
              <w:t xml:space="preserve">Property__c</w:t>
            </w:r>
            <w:r>
              <w:rPr>
                <w:b w:val="false"/>
                <w:bCs w:val="false"/>
                <w:sz w:val="17"/>
                <w:szCs w:val="17"/>
              </w:rPr>
              <w:t xml:space="preserve">, </w:t>
            </w:r>
            <w:r>
              <w:rPr>
                <w:rFonts w:ascii="Consolas" w:cs="Consolas" w:eastAsia="Consolas" w:hAnsi="Consolas"/>
                <w:b w:val="false"/>
                <w:bCs w:val="false"/>
                <w:sz w:val="16"/>
                <w:szCs w:val="16"/>
                <w:shd w:fill="EEF0F3" w:color="auto" w:val="clear"/>
              </w:rPr>
              <w:t xml:space="preserve">Applicant_Income__c</w:t>
            </w:r>
            <w:r>
              <w:rPr>
                <w:b w:val="false"/>
                <w:bCs w:val="false"/>
                <w:sz w:val="17"/>
                <w:szCs w:val="17"/>
              </w:rPr>
              <w:t xml:space="preserve">, </w:t>
            </w:r>
            <w:r>
              <w:rPr>
                <w:rFonts w:ascii="Consolas" w:cs="Consolas" w:eastAsia="Consolas" w:hAnsi="Consolas"/>
                <w:b w:val="false"/>
                <w:bCs w:val="false"/>
                <w:sz w:val="16"/>
                <w:szCs w:val="16"/>
                <w:shd w:fill="EEF0F3" w:color="auto" w:val="clear"/>
              </w:rPr>
              <w:t xml:space="preserve">Liability__c</w:t>
            </w:r>
          </w:p>
        </w:tc>
        <w:tc>
          <w:tcPr>
            <w:tcW w:type="dxa" w:w="536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Loan Application Property, Loan Applicant Income, Loan Application Liability</w:t>
            </w:r>
          </w:p>
        </w:tc>
      </w:tr>
      <w:tr>
        <w:trPr>
          <w:cantSplit/>
        </w:trPr>
        <w:tc>
          <w:tcPr>
            <w:tcW w:type="dxa" w:w="47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6"/>
                <w:szCs w:val="16"/>
                <w:shd w:fill="EEF0F3" w:color="auto" w:val="clear"/>
              </w:rPr>
              <w:t xml:space="preserve">Condition__c</w:t>
            </w:r>
          </w:p>
        </w:tc>
        <w:tc>
          <w:tcPr>
            <w:tcW w:type="dxa" w:w="536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Often custom in FSC implementations too</w:t>
            </w:r>
          </w:p>
        </w:tc>
      </w:tr>
      <w:tr>
        <w:trPr>
          <w:cantSplit/>
        </w:trPr>
        <w:tc>
          <w:tcPr>
            <w:tcW w:type="dxa" w:w="47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6"/>
                <w:szCs w:val="16"/>
                <w:shd w:fill="EEF0F3" w:color="auto" w:val="clear"/>
              </w:rPr>
              <w:t xml:space="preserve">Loan__c</w:t>
            </w:r>
            <w:r>
              <w:rPr>
                <w:b w:val="false"/>
                <w:bCs w:val="false"/>
                <w:sz w:val="17"/>
                <w:szCs w:val="17"/>
              </w:rPr>
              <w:t xml:space="preserve"> + </w:t>
            </w:r>
            <w:r>
              <w:rPr>
                <w:rFonts w:ascii="Consolas" w:cs="Consolas" w:eastAsia="Consolas" w:hAnsi="Consolas"/>
                <w:b w:val="false"/>
                <w:bCs w:val="false"/>
                <w:sz w:val="16"/>
                <w:szCs w:val="16"/>
                <w:shd w:fill="EEF0F3" w:color="auto" w:val="clear"/>
              </w:rPr>
              <w:t xml:space="preserve">Loan_Party__c</w:t>
            </w:r>
          </w:p>
        </w:tc>
        <w:tc>
          <w:tcPr>
            <w:tcW w:type="dxa" w:w="536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Financial Account (type Mortgage) + Financial Account Party (borrower, co-borrower and guarantor roles)</w:t>
            </w:r>
          </w:p>
        </w:tc>
      </w:tr>
      <w:tr>
        <w:trPr>
          <w:cantSplit/>
        </w:trPr>
        <w:tc>
          <w:tcPr>
            <w:tcW w:type="dxa" w:w="47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Coverage sharing (Apex managed sharing on loans, team membership on deals — Module 15 SV2)</w:t>
            </w:r>
          </w:p>
        </w:tc>
        <w:tc>
          <w:tcPr>
            <w:tcW w:type="dxa" w:w="536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bCs/>
                <w:sz w:val="17"/>
                <w:szCs w:val="17"/>
              </w:rPr>
              <w:t xml:space="preserve">Compliant Data Sharing</w:t>
            </w:r>
            <w:r>
              <w:rPr>
                <w:b w:val="false"/>
                <w:bCs w:val="false"/>
                <w:sz w:val="17"/>
                <w:szCs w:val="17"/>
              </w:rPr>
              <w:t xml:space="preserve">: participants and participant roles on supported objects</w:t>
            </w:r>
          </w:p>
        </w:tc>
      </w:tr>
    </w:tbl>
    <w:p>
      <w:pPr>
        <w:spacing w:after="120"/>
      </w:pPr>
    </w:p>
    <w:p>
      <w:pPr>
        <w:spacing w:after="120"/>
      </w:pPr>
      <w:r>
        <w:t xml:space="preserve">Write ADR-038: adopt FSC (licence cost, data-model change, migration effort, gains such as Compliant Data Sharing, the mortgage data model and industry components) or keep the custom model.</w:t>
      </w:r>
    </w:p>
    <w:p>
      <w:pPr>
        <w:pStyle w:val="Heading2"/>
      </w:pPr>
      <w:r>
        <w:t xml:space="preserve">MG9 — Automation migration</w:t>
      </w:r>
    </w:p>
    <w:p>
      <w:pPr>
        <w:spacing w:after="120"/>
      </w:pPr>
      <w:r>
        <w:t xml:space="preserve">Workflow Rules and Process Builder lost support on </w:t>
      </w:r>
      <w:r>
        <w:rPr>
          <w:b/>
          <w:bCs/>
        </w:rPr>
        <w:t xml:space="preserve">December 31, 2025</w:t>
      </w:r>
      <w:r>
        <w:t xml:space="preserve">. In an inherited org you'd inventory them and use </w:t>
      </w:r>
      <w:r>
        <w:rPr>
          <w:b/>
          <w:bCs/>
        </w:rPr>
        <w:t xml:space="preserve">Migrate to Flow</w:t>
      </w:r>
      <w:r>
        <w:t xml:space="preserve">, then test the order of execution (Module 08 F7). Know the answer for interviews, even if your new org has none to migrate.</w:t>
      </w:r>
    </w:p>
    <w:p>
      <w:pPr>
        <w:pBdr>
          <w:bottom w:val="single" w:color="BFBFBF" w:sz="6" w:space="1"/>
        </w:pBdr>
        <w:spacing w:after="120" w:before="120"/>
      </w:pPr>
    </w:p>
    <w:p>
      <w:pPr>
        <w:pStyle w:val="Heading1"/>
      </w:pPr>
      <w:bookmarkStart w:name="s8" w:id="8"/>
      <w:r>
        <w:t xml:space="preserve">8. Governance and privacy</w:t>
      </w:r>
      <w:bookmarkEnd w:id="8"/>
    </w:p>
    <w:p>
      <w:pPr>
        <w:pStyle w:val="Heading2"/>
      </w:pPr>
      <w:r>
        <w:t xml:space="preserve">GV1 — Operating model</w:t>
      </w:r>
    </w:p>
    <w:p>
      <w:pPr>
        <w:spacing w:after="120"/>
      </w:pPr>
      <w:r>
        <w:t xml:space="preserve">Apex uses a hybrid model: a central data office (policies, classification standard, tooling) plus domain stewards (Retail lending, Broker channel, Servicing, Credit Risk, Compliance). The roles are:</w:t>
      </w:r>
    </w:p>
    <w:p>
      <w:pPr>
        <w:pStyle w:val="ListParagraph"/>
        <w:numPr>
          <w:ilvl w:val="0"/>
          <w:numId w:val="12"/>
        </w:numPr>
        <w:spacing w:after="60"/>
      </w:pPr>
      <w:r>
        <w:rPr>
          <w:b/>
          <w:bCs/>
        </w:rPr>
        <w:t xml:space="preserve">Data owner:</w:t>
      </w:r>
      <w:r>
        <w:t xml:space="preserve"> accountable for the data.</w:t>
      </w:r>
    </w:p>
    <w:p>
      <w:pPr>
        <w:pStyle w:val="ListParagraph"/>
        <w:numPr>
          <w:ilvl w:val="0"/>
          <w:numId w:val="12"/>
        </w:numPr>
        <w:spacing w:after="60"/>
      </w:pPr>
      <w:r>
        <w:rPr>
          <w:b/>
          <w:bCs/>
        </w:rPr>
        <w:t xml:space="preserve">Steward:</w:t>
      </w:r>
      <w:r>
        <w:t xml:space="preserve"> responsible for quality and definitions.</w:t>
      </w:r>
    </w:p>
    <w:p>
      <w:pPr>
        <w:pStyle w:val="ListParagraph"/>
        <w:numPr>
          <w:ilvl w:val="0"/>
          <w:numId w:val="12"/>
        </w:numPr>
        <w:spacing w:after="60"/>
      </w:pPr>
      <w:r>
        <w:rPr>
          <w:b/>
          <w:bCs/>
        </w:rPr>
        <w:t xml:space="preserve">Custodian:</w:t>
      </w:r>
      <w:r>
        <w:t xml:space="preserve"> the platform teams that run the systems.</w:t>
      </w:r>
    </w:p>
    <w:p>
      <w:pPr>
        <w:spacing w:after="120"/>
      </w:pPr>
      <w:r>
        <w:t xml:space="preserve">A monthly data council reviews quality metrics, open privacy requests, classification gaps and new data uses, especially AI uses.</w:t>
      </w:r>
    </w:p>
    <w:p>
      <w:pPr>
        <w:pStyle w:val="Heading2"/>
      </w:pPr>
      <w:r>
        <w:t xml:space="preserve">GV2 — Classification in practice</w:t>
      </w:r>
    </w:p>
    <w:p>
      <w:pPr>
        <w:spacing w:after="120"/>
      </w:pPr>
      <w:r>
        <w:t xml:space="preserve">Restricted fields (date of birth, </w:t>
      </w:r>
      <w:r>
        <w:rPr>
          <w:rFonts w:ascii="Consolas" w:cs="Consolas" w:eastAsia="Consolas" w:hAnsi="Consolas"/>
          <w:sz w:val="19"/>
          <w:szCs w:val="19"/>
          <w:shd w:fill="EEF0F3" w:color="auto" w:val="clear"/>
        </w:rPr>
        <w:t xml:space="preserve">SIN__c</w:t>
      </w:r>
      <w:r>
        <w:t xml:space="preserve">, bureau references) are encrypted where the platform allows it (Module 15 SH1), hidden from agent users, masked in logs and excluded from Data 360 activations. Incomes, liabilities and credit scores are Confidential: visible to the people working the deal, never in marketing segments.</w:t>
      </w:r>
    </w:p>
    <w:p>
      <w:pPr>
        <w:spacing w:after="120"/>
      </w:pPr>
      <w:r>
        <w:t xml:space="preserve">Better still, ask whether a field needs to be in the CRM at all (data minimization). A borrower doesn't have to give a SIN for a mortgage, so </w:t>
      </w:r>
      <w:r>
        <w:rPr>
          <w:rFonts w:ascii="Consolas" w:cs="Consolas" w:eastAsia="Consolas" w:hAnsi="Consolas"/>
          <w:sz w:val="19"/>
          <w:szCs w:val="19"/>
          <w:shd w:fill="EEF0F3" w:color="auto" w:val="clear"/>
        </w:rPr>
        <w:t xml:space="preserve">SIN__c</w:t>
      </w:r>
      <w:r>
        <w:t xml:space="preserve"> is optional, used only to help match a bureau file, and readable by Credit alone (Project 03); record in ADR-037 whether it should leave the CRM entirely. Pre-authorized-debit bank details never enter Salesforce: they live only in servicing.</w:t>
      </w:r>
    </w:p>
    <w:p>
      <w:pPr>
        <w:pStyle w:val="Heading2"/>
      </w:pPr>
      <w:r>
        <w:t xml:space="preserve">GV3 — Consent model (CASL, Law 25)</w:t>
      </w:r>
    </w:p>
    <w:p>
      <w:pPr>
        <w:spacing w:after="120"/>
      </w:pPr>
      <w:r>
        <w:t xml:space="preserve">Enable Setup → </w:t>
      </w:r>
      <w:r>
        <w:rPr>
          <w:b/>
          <w:bCs/>
        </w:rPr>
        <w:t xml:space="preserve">Data Protection and Privacy</w:t>
      </w:r>
      <w:r>
        <w:t xml:space="preserve"> → </w:t>
      </w:r>
      <w:r>
        <w:rPr>
          <w:i/>
          <w:iCs/>
        </w:rPr>
        <w:t xml:space="preserve">Make data protection details available in records</w:t>
      </w:r>
      <w:r>
        <w:t xml:space="preserve"> (Individual object). Model:</w:t>
      </w:r>
    </w:p>
    <w:p>
      <w:pPr>
        <w:pStyle w:val="ListParagraph"/>
        <w:numPr>
          <w:ilvl w:val="0"/>
          <w:numId w:val="13"/>
        </w:numPr>
        <w:spacing w:after="60"/>
      </w:pPr>
      <w:r>
        <w:rPr>
          <w:b/>
          <w:bCs/>
        </w:rPr>
        <w:t xml:space="preserve">Data Use Purposes:</w:t>
      </w:r>
      <w:r>
        <w:t xml:space="preserve"> </w:t>
      </w:r>
      <w:r>
        <w:rPr>
          <w:i/>
          <w:iCs/>
        </w:rPr>
        <w:t xml:space="preserve">Webinar marketing</w:t>
      </w:r>
      <w:r>
        <w:t xml:space="preserve">, </w:t>
      </w:r>
      <w:r>
        <w:rPr>
          <w:i/>
          <w:iCs/>
        </w:rPr>
        <w:t xml:space="preserve">Renewal offers</w:t>
      </w:r>
      <w:r>
        <w:t xml:space="preserve">, </w:t>
      </w:r>
      <w:r>
        <w:rPr>
          <w:i/>
          <w:iCs/>
        </w:rPr>
        <w:t xml:space="preserve">Service notices</w:t>
      </w:r>
      <w:r>
        <w:t xml:space="preserve">, each with a legal basis.</w:t>
      </w:r>
    </w:p>
    <w:p>
      <w:pPr>
        <w:pStyle w:val="ListParagraph"/>
        <w:numPr>
          <w:ilvl w:val="0"/>
          <w:numId w:val="13"/>
        </w:numPr>
        <w:spacing w:after="60"/>
      </w:pPr>
      <w:r>
        <w:rPr>
          <w:b/>
          <w:bCs/>
        </w:rPr>
        <w:t xml:space="preserve">Contact Point Type Consent</w:t>
      </w:r>
      <w:r>
        <w:t xml:space="preserve"> per Individual × channel (Email, Phone, SMS) × purpose: status Opt In/Opt Out, effective-from/to dates, capture date and source.</w:t>
      </w:r>
    </w:p>
    <w:p>
      <w:pPr>
        <w:pStyle w:val="ListParagraph"/>
        <w:numPr>
          <w:ilvl w:val="0"/>
          <w:numId w:val="13"/>
        </w:numPr>
        <w:spacing w:after="60"/>
      </w:pPr>
      <w:r>
        <w:rPr>
          <w:b/>
          <w:bCs/>
        </w:rPr>
        <w:t xml:space="preserve">Credit inquiry consent</w:t>
      </w:r>
      <w:r>
        <w:t xml:space="preserve"> is a different thing from marketing consent. Model it as an </w:t>
      </w:r>
      <w:r>
        <w:rPr>
          <w:b/>
          <w:bCs/>
        </w:rPr>
        <w:t xml:space="preserve">Authorization Form</w:t>
      </w:r>
      <w:r>
        <w:t xml:space="preserve"> ("Credit Inquiry Consent v1") with an </w:t>
      </w:r>
      <w:r>
        <w:rPr>
          <w:rFonts w:ascii="Consolas" w:cs="Consolas" w:eastAsia="Consolas" w:hAnsi="Consolas"/>
          <w:sz w:val="19"/>
          <w:szCs w:val="19"/>
          <w:shd w:fill="EEF0F3" w:color="auto" w:val="clear"/>
        </w:rPr>
        <w:t xml:space="preserve">AuthorizationFormConsent</w:t>
      </w:r>
      <w:r>
        <w:t xml:space="preserve"> per borrower; the bureau call carries its ID (Project 13 §4.11).</w:t>
      </w:r>
    </w:p>
    <w:p>
      <w:pPr>
        <w:pStyle w:val="ListParagraph"/>
        <w:numPr>
          <w:ilvl w:val="0"/>
          <w:numId w:val="13"/>
        </w:numPr>
        <w:spacing w:after="60"/>
      </w:pPr>
      <w:r>
        <w:rPr>
          <w:b/>
          <w:bCs/>
        </w:rPr>
        <w:t xml:space="preserve">CASL rules:</w:t>
      </w:r>
    </w:p>
    <w:p>
      <w:pPr>
        <w:pStyle w:val="ListParagraph"/>
        <w:numPr>
          <w:ilvl w:val="1"/>
          <w:numId w:val="14"/>
        </w:numPr>
        <w:spacing w:after="60"/>
      </w:pPr>
      <w:r>
        <w:t xml:space="preserve">Express consent doesn't expire until withdrawn.</w:t>
      </w:r>
    </w:p>
    <w:p>
      <w:pPr>
        <w:pStyle w:val="ListParagraph"/>
        <w:numPr>
          <w:ilvl w:val="1"/>
          <w:numId w:val="14"/>
        </w:numPr>
        <w:spacing w:after="60"/>
      </w:pPr>
      <w:r>
        <w:t xml:space="preserve">Implied consent from an existing business relationship lasts up to 2 years, or 6 months after an inquiry, so store </w:t>
      </w:r>
      <w:r>
        <w:rPr>
          <w:rFonts w:ascii="Consolas" w:cs="Consolas" w:eastAsia="Consolas" w:hAnsi="Consolas"/>
          <w:sz w:val="19"/>
          <w:szCs w:val="19"/>
          <w:shd w:fill="EEF0F3" w:color="auto" w:val="clear"/>
        </w:rPr>
        <w:t xml:space="preserve">EffectiveTo</w:t>
      </w:r>
      <w:r>
        <w:t xml:space="preserve"> accordingly.</w:t>
      </w:r>
    </w:p>
    <w:p>
      <w:pPr>
        <w:pStyle w:val="ListParagraph"/>
        <w:numPr>
          <w:ilvl w:val="1"/>
          <w:numId w:val="14"/>
        </w:numPr>
        <w:spacing w:after="60"/>
      </w:pPr>
      <w:r>
        <w:t xml:space="preserve">Process unsubscribes within 10 business days (do it immediately).</w:t>
      </w:r>
    </w:p>
    <w:p>
      <w:pPr>
        <w:pStyle w:val="ListParagraph"/>
        <w:numPr>
          <w:ilvl w:val="1"/>
          <w:numId w:val="14"/>
        </w:numPr>
        <w:spacing w:after="60"/>
      </w:pPr>
      <w:r>
        <w:t xml:space="preserve">Every message identifies the sender and includes an unsubscribe mechanism.</w:t>
      </w:r>
    </w:p>
    <w:p>
      <w:pPr>
        <w:pStyle w:val="ListParagraph"/>
        <w:numPr>
          <w:ilvl w:val="0"/>
          <w:numId w:val="13"/>
        </w:numPr>
        <w:spacing w:after="60"/>
      </w:pPr>
      <w:r>
        <w:rPr>
          <w:b/>
          <w:bCs/>
        </w:rPr>
        <w:t xml:space="preserve">Quebec Law 25:</w:t>
      </w:r>
    </w:p>
    <w:p>
      <w:pPr>
        <w:pStyle w:val="ListParagraph"/>
        <w:numPr>
          <w:ilvl w:val="1"/>
          <w:numId w:val="15"/>
        </w:numPr>
        <w:spacing w:after="60"/>
      </w:pPr>
      <w:r>
        <w:t xml:space="preserve">Privacy by default: profiling and marketing default to off for Quebec residents, set by a before-save flow.</w:t>
      </w:r>
    </w:p>
    <w:p>
      <w:pPr>
        <w:pStyle w:val="ListParagraph"/>
        <w:numPr>
          <w:ilvl w:val="1"/>
          <w:numId w:val="15"/>
        </w:numPr>
        <w:spacing w:after="60"/>
      </w:pPr>
      <w:r>
        <w:t xml:space="preserve">A privacy impact assessment before personal information leaves Quebec, including to other provinces and to US-hosted model inference (see ADR-012).</w:t>
      </w:r>
    </w:p>
    <w:p>
      <w:pPr>
        <w:pStyle w:val="ListParagraph"/>
        <w:numPr>
          <w:ilvl w:val="1"/>
          <w:numId w:val="15"/>
        </w:numPr>
        <w:spacing w:after="60"/>
      </w:pPr>
      <w:r>
        <w:t xml:space="preserve">Notice when a decision is made exclusively by automated processing. Apex keeps a person in every credit decision; document that.</w:t>
      </w:r>
    </w:p>
    <w:p>
      <w:pPr>
        <w:pStyle w:val="ListParagraph"/>
        <w:numPr>
          <w:ilvl w:val="0"/>
          <w:numId w:val="13"/>
        </w:numPr>
        <w:spacing w:after="60"/>
      </w:pPr>
      <w:r>
        <w:t xml:space="preserve">Propagate consent to Data 360 and filter every segment and activation on it.</w:t>
      </w:r>
    </w:p>
    <w:p>
      <w:pPr>
        <w:pStyle w:val="Heading2"/>
      </w:pPr>
      <w:r>
        <w:t xml:space="preserve">GV4 — Privacy requests across every system (INT-27)</w:t>
      </w:r>
    </w:p>
    <w:p>
      <w:pPr>
        <w:spacing w:after="120"/>
      </w:pPr>
      <w:r>
        <w:t xml:space="preserve">PIPEDA gives organizations 30 days to respond to an access request (extendable in limited cases). A Case record type </w:t>
      </w:r>
      <w:r>
        <w:rPr>
          <w:b/>
          <w:bCs/>
        </w:rPr>
        <w:t xml:space="preserve">Privacy Request</w:t>
      </w:r>
      <w:r>
        <w:t xml:space="preserve"> drives an orchestration (Flow → MuleSoft or Lambda fan-out):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47"/>
        <w:gridCol w:w="2508"/>
        <w:gridCol w:w="2998"/>
        <w:gridCol w:w="1827"/>
      </w:tblGrid>
      <w:tr>
        <w:trPr>
          <w:cantSplit/>
          <w:tblHeader/>
        </w:trPr>
        <w:tc>
          <w:tcPr>
            <w:tcW w:type="dxa" w:w="2747"/>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System</w:t>
            </w:r>
          </w:p>
        </w:tc>
        <w:tc>
          <w:tcPr>
            <w:tcW w:type="dxa" w:w="2508"/>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Access request</w:t>
            </w:r>
          </w:p>
        </w:tc>
        <w:tc>
          <w:tcPr>
            <w:tcW w:type="dxa" w:w="2998"/>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Deletion or restriction</w:t>
            </w:r>
          </w:p>
        </w:tc>
        <w:tc>
          <w:tcPr>
            <w:tcW w:type="dxa" w:w="1827"/>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Mechanism</w:t>
            </w:r>
          </w:p>
        </w:tc>
      </w:tr>
      <w:tr>
        <w:trPr>
          <w:cantSplit/>
        </w:trPr>
        <w:tc>
          <w:tcPr>
            <w:tcW w:type="dxa" w:w="274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Salesforce CRM</w:t>
            </w:r>
          </w:p>
        </w:tc>
        <w:tc>
          <w:tcPr>
            <w:tcW w:type="dxa" w:w="250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Contact, Individual, consents, deals and their children, cases, activities, files</w:t>
            </w:r>
          </w:p>
        </w:tc>
        <w:tc>
          <w:tcPr>
            <w:tcW w:type="dxa" w:w="299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Delete marketing data; retain regulated records; set Individual "forget" flags</w:t>
            </w:r>
          </w:p>
        </w:tc>
        <w:tc>
          <w:tcPr>
            <w:tcW w:type="dxa" w:w="182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Apex export to S3 (signed link)</w:t>
            </w:r>
          </w:p>
        </w:tc>
      </w:tr>
      <w:tr>
        <w:trPr>
          <w:cantSplit/>
        </w:trPr>
        <w:tc>
          <w:tcPr>
            <w:tcW w:type="dxa" w:w="274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Servicing system</w:t>
            </w:r>
          </w:p>
        </w:tc>
        <w:tc>
          <w:tcPr>
            <w:tcW w:type="dxa" w:w="250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Borrower, loans, payments, advances</w:t>
            </w:r>
          </w:p>
        </w:tc>
        <w:tc>
          <w:tcPr>
            <w:tcW w:type="dxa" w:w="299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Retain (regulatory)</w:t>
            </w:r>
          </w:p>
        </w:tc>
        <w:tc>
          <w:tcPr>
            <w:tcW w:type="dxa" w:w="182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sys API export</w:t>
            </w:r>
          </w:p>
        </w:tc>
      </w:tr>
      <w:tr>
        <w:trPr>
          <w:cantSplit/>
        </w:trPr>
        <w:tc>
          <w:tcPr>
            <w:tcW w:type="dxa" w:w="274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Data 360</w:t>
            </w:r>
          </w:p>
        </w:tc>
        <w:tc>
          <w:tcPr>
            <w:tcW w:type="dxa" w:w="250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Unified profile, source rows, segment membership</w:t>
            </w:r>
          </w:p>
        </w:tc>
        <w:tc>
          <w:tcPr>
            <w:tcW w:type="dxa" w:w="299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Deletion request ⚠ check current Data 360 privacy APIs</w:t>
            </w:r>
          </w:p>
        </w:tc>
        <w:tc>
          <w:tcPr>
            <w:tcW w:type="dxa" w:w="182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Data 360 API</w:t>
            </w:r>
          </w:p>
        </w:tc>
      </w:tr>
      <w:tr>
        <w:trPr>
          <w:cantSplit/>
        </w:trPr>
        <w:tc>
          <w:tcPr>
            <w:tcW w:type="dxa" w:w="274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Documents service (S3)</w:t>
            </w:r>
          </w:p>
        </w:tc>
        <w:tc>
          <w:tcPr>
            <w:tcW w:type="dxa" w:w="250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Statements, uploads, bureau report copies</w:t>
            </w:r>
          </w:p>
        </w:tc>
        <w:tc>
          <w:tcPr>
            <w:tcW w:type="dxa" w:w="299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Keep statements; delete uploads after the retention period</w:t>
            </w:r>
          </w:p>
        </w:tc>
        <w:tc>
          <w:tcPr>
            <w:tcW w:type="dxa" w:w="182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Object tags + lifecycle</w:t>
            </w:r>
          </w:p>
        </w:tc>
      </w:tr>
      <w:tr>
        <w:trPr>
          <w:cantSplit/>
        </w:trPr>
        <w:tc>
          <w:tcPr>
            <w:tcW w:type="dxa" w:w="274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Broker inbox (</w:t>
            </w:r>
            <w:r>
              <w:rPr>
                <w:rFonts w:ascii="Consolas" w:cs="Consolas" w:eastAsia="Consolas" w:hAnsi="Consolas"/>
                <w:b w:val="false"/>
                <w:bCs w:val="false"/>
                <w:sz w:val="16"/>
                <w:szCs w:val="16"/>
                <w:shd w:fill="EEF0F3" w:color="auto" w:val="clear"/>
              </w:rPr>
              <w:t xml:space="preserve">Broker_Submission__c</w:t>
            </w:r>
            <w:r>
              <w:rPr>
                <w:b w:val="false"/>
                <w:bCs w:val="false"/>
                <w:sz w:val="17"/>
                <w:szCs w:val="17"/>
              </w:rPr>
              <w:t xml:space="preserve">)</w:t>
            </w:r>
          </w:p>
        </w:tc>
        <w:tc>
          <w:tcPr>
            <w:tcW w:type="dxa" w:w="250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Submitted payloads naming the borrower</w:t>
            </w:r>
          </w:p>
        </w:tc>
        <w:tc>
          <w:tcPr>
            <w:tcW w:type="dxa" w:w="299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Purge after the retention period (GV5)</w:t>
            </w:r>
          </w:p>
        </w:tc>
        <w:tc>
          <w:tcPr>
            <w:tcW w:type="dxa" w:w="182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Scheduled purge</w:t>
            </w:r>
          </w:p>
        </w:tc>
      </w:tr>
      <w:tr>
        <w:trPr>
          <w:cantSplit/>
        </w:trPr>
        <w:tc>
          <w:tcPr>
            <w:tcW w:type="dxa" w:w="274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Agentforce session traces (Module 16 AX7)</w:t>
            </w:r>
          </w:p>
        </w:tc>
        <w:tc>
          <w:tcPr>
            <w:tcW w:type="dxa" w:w="250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Conversations with the borrower</w:t>
            </w:r>
          </w:p>
        </w:tc>
        <w:tc>
          <w:tcPr>
            <w:tcW w:type="dxa" w:w="299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Expire by retention; restrict access</w:t>
            </w:r>
          </w:p>
        </w:tc>
        <w:tc>
          <w:tcPr>
            <w:tcW w:type="dxa" w:w="182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Data 360 retention ⚠</w:t>
            </w:r>
          </w:p>
        </w:tc>
      </w:tr>
      <w:tr>
        <w:trPr>
          <w:cantSplit/>
        </w:trPr>
        <w:tc>
          <w:tcPr>
            <w:tcW w:type="dxa" w:w="274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Langfuse traces</w:t>
            </w:r>
          </w:p>
        </w:tc>
        <w:tc>
          <w:tcPr>
            <w:tcW w:type="dxa" w:w="250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Traces with the user's ID</w:t>
            </w:r>
          </w:p>
        </w:tc>
        <w:tc>
          <w:tcPr>
            <w:tcW w:type="dxa" w:w="299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Delete by user ID (asynchronous; verify afterwards)</w:t>
            </w:r>
          </w:p>
        </w:tc>
        <w:tc>
          <w:tcPr>
            <w:tcW w:type="dxa" w:w="182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Langfuse API</w:t>
            </w:r>
          </w:p>
        </w:tc>
      </w:tr>
      <w:tr>
        <w:trPr>
          <w:cantSplit/>
        </w:trPr>
        <w:tc>
          <w:tcPr>
            <w:tcW w:type="dxa" w:w="274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AgentCore Memory</w:t>
            </w:r>
          </w:p>
        </w:tc>
        <w:tc>
          <w:tcPr>
            <w:tcW w:type="dxa" w:w="250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Events and memory records for the actor</w:t>
            </w:r>
          </w:p>
        </w:tc>
        <w:tc>
          <w:tcPr>
            <w:tcW w:type="dxa" w:w="299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6"/>
                <w:szCs w:val="16"/>
                <w:shd w:fill="EEF0F3" w:color="auto" w:val="clear"/>
              </w:rPr>
              <w:t xml:space="preserve">DeleteEvent</w:t>
            </w:r>
            <w:r>
              <w:rPr>
                <w:b w:val="false"/>
                <w:bCs w:val="false"/>
                <w:sz w:val="17"/>
                <w:szCs w:val="17"/>
              </w:rPr>
              <w:t xml:space="preserve">, </w:t>
            </w:r>
            <w:r>
              <w:rPr>
                <w:rFonts w:ascii="Consolas" w:cs="Consolas" w:eastAsia="Consolas" w:hAnsi="Consolas"/>
                <w:b w:val="false"/>
                <w:bCs w:val="false"/>
                <w:sz w:val="16"/>
                <w:szCs w:val="16"/>
                <w:shd w:fill="EEF0F3" w:color="auto" w:val="clear"/>
              </w:rPr>
              <w:t xml:space="preserve">DeleteMemoryRecord</w:t>
            </w:r>
          </w:p>
        </w:tc>
        <w:tc>
          <w:tcPr>
            <w:tcW w:type="dxa" w:w="182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AgentCore API — design memory keys so a person's data can be found</w:t>
            </w:r>
          </w:p>
        </w:tc>
      </w:tr>
      <w:tr>
        <w:trPr>
          <w:cantSplit/>
        </w:trPr>
        <w:tc>
          <w:tcPr>
            <w:tcW w:type="dxa" w:w="274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Logs (Mule, CloudWatch)</w:t>
            </w:r>
          </w:p>
        </w:tc>
        <w:tc>
          <w:tcPr>
            <w:tcW w:type="dxa" w:w="250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Masked, so usually none</w:t>
            </w:r>
          </w:p>
        </w:tc>
        <w:tc>
          <w:tcPr>
            <w:tcW w:type="dxa" w:w="299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Expire by retention</w:t>
            </w:r>
          </w:p>
        </w:tc>
        <w:tc>
          <w:tcPr>
            <w:tcW w:type="dxa" w:w="182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Policy</w:t>
            </w:r>
          </w:p>
        </w:tc>
      </w:tr>
      <w:tr>
        <w:trPr>
          <w:cantSplit/>
        </w:trPr>
        <w:tc>
          <w:tcPr>
            <w:tcW w:type="dxa" w:w="274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Backups</w:t>
            </w:r>
          </w:p>
        </w:tc>
        <w:tc>
          <w:tcPr>
            <w:tcW w:type="dxa" w:w="250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w:t>
            </w:r>
          </w:p>
        </w:tc>
        <w:tc>
          <w:tcPr>
            <w:tcW w:type="dxa" w:w="299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Expire on schedule; document</w:t>
            </w:r>
          </w:p>
        </w:tc>
        <w:tc>
          <w:tcPr>
            <w:tcW w:type="dxa" w:w="182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Policy</w:t>
            </w:r>
          </w:p>
        </w:tc>
      </w:tr>
    </w:tbl>
    <w:p>
      <w:pPr>
        <w:spacing w:after="120"/>
      </w:pPr>
    </w:p>
    <w:p>
      <w:pPr>
        <w:spacing w:after="120"/>
      </w:pPr>
      <w:r>
        <w:t xml:space="preserve">The design lesson: if you can't find a borrower's data in agent memory and traces, you can't honour the request, so make it findable by design.</w:t>
      </w:r>
    </w:p>
    <w:p>
      <w:pPr>
        <w:pStyle w:val="Heading2"/>
      </w:pPr>
      <w:r>
        <w:t xml:space="preserve">GV5 — Retention schedule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5"/>
        <w:gridCol w:w="2762"/>
        <w:gridCol w:w="2237"/>
        <w:gridCol w:w="2256"/>
      </w:tblGrid>
      <w:tr>
        <w:trPr>
          <w:cantSplit/>
          <w:tblHeader/>
        </w:trPr>
        <w:tc>
          <w:tcPr>
            <w:tcW w:type="dxa" w:w="2825"/>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Data class</w:t>
            </w:r>
          </w:p>
        </w:tc>
        <w:tc>
          <w:tcPr>
            <w:tcW w:type="dxa" w:w="2762"/>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Minimum (regulatory)</w:t>
            </w:r>
          </w:p>
        </w:tc>
        <w:tc>
          <w:tcPr>
            <w:tcW w:type="dxa" w:w="2237"/>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Maximum (privacy)</w:t>
            </w:r>
          </w:p>
        </w:tc>
        <w:tc>
          <w:tcPr>
            <w:tcW w:type="dxa" w:w="2256"/>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Enforcement</w:t>
            </w:r>
          </w:p>
        </w:tc>
      </w:tr>
      <w:tr>
        <w:trPr>
          <w:cantSplit/>
        </w:trPr>
        <w:tc>
          <w:tcPr>
            <w:tcW w:type="dxa" w:w="282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Loan records, payments and advances</w:t>
            </w:r>
          </w:p>
        </w:tc>
        <w:tc>
          <w:tcPr>
            <w:tcW w:type="dxa" w:w="276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Set with Compliance: the life of the loan plus a period after discharge ⚠</w:t>
            </w:r>
          </w:p>
        </w:tc>
        <w:tc>
          <w:tcPr>
            <w:tcW w:type="dxa" w:w="223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No longer than necessary after the relationship ends</w:t>
            </w:r>
          </w:p>
        </w:tc>
        <w:tc>
          <w:tcPr>
            <w:tcW w:type="dxa" w:w="225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Servicing archive; S3 Glacier; Object Lock for legal hold</w:t>
            </w:r>
          </w:p>
        </w:tc>
      </w:tr>
      <w:tr>
        <w:trPr>
          <w:cantSplit/>
        </w:trPr>
        <w:tc>
          <w:tcPr>
            <w:tcW w:type="dxa" w:w="282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FINTRAC records (identity verification, large cash and suspicious transaction reports)</w:t>
            </w:r>
          </w:p>
        </w:tc>
        <w:tc>
          <w:tcPr>
            <w:tcW w:type="dxa" w:w="276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At least 5 years (primer §4) ⚠ confirm which date each record's clock starts from</w:t>
            </w:r>
          </w:p>
        </w:tc>
        <w:tc>
          <w:tcPr>
            <w:tcW w:type="dxa" w:w="223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Delete after the period</w:t>
            </w:r>
          </w:p>
        </w:tc>
        <w:tc>
          <w:tcPr>
            <w:tcW w:type="dxa" w:w="225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S3 lifecycle on tagged objects</w:t>
            </w:r>
          </w:p>
        </w:tc>
      </w:tr>
      <w:tr>
        <w:trPr>
          <w:cantSplit/>
        </w:trPr>
        <w:tc>
          <w:tcPr>
            <w:tcW w:type="dxa" w:w="282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Declined and withdrawn applications</w:t>
            </w:r>
          </w:p>
        </w:tc>
        <w:tc>
          <w:tcPr>
            <w:tcW w:type="dxa" w:w="276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Set with Compliance (complaints and fair-lending reviews need them) ⚠</w:t>
            </w:r>
          </w:p>
        </w:tc>
        <w:tc>
          <w:tcPr>
            <w:tcW w:type="dxa" w:w="223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No longer than necessary</w:t>
            </w:r>
          </w:p>
        </w:tc>
        <w:tc>
          <w:tcPr>
            <w:tcW w:type="dxa" w:w="225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Archive job (DM8)</w:t>
            </w:r>
          </w:p>
        </w:tc>
      </w:tr>
      <w:tr>
        <w:trPr>
          <w:cantSplit/>
        </w:trPr>
        <w:tc>
          <w:tcPr>
            <w:tcW w:type="dxa" w:w="282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Broker submissions (inbox payloads)</w:t>
            </w:r>
          </w:p>
        </w:tc>
        <w:tc>
          <w:tcPr>
            <w:tcW w:type="dxa" w:w="276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w:t>
            </w:r>
          </w:p>
        </w:tc>
        <w:tc>
          <w:tcPr>
            <w:tcW w:type="dxa" w:w="223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24 months after the decision</w:t>
            </w:r>
          </w:p>
        </w:tc>
        <w:tc>
          <w:tcPr>
            <w:tcW w:type="dxa" w:w="225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Scheduled purge</w:t>
            </w:r>
          </w:p>
        </w:tc>
      </w:tr>
      <w:tr>
        <w:trPr>
          <w:cantSplit/>
        </w:trPr>
        <w:tc>
          <w:tcPr>
            <w:tcW w:type="dxa" w:w="282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Unconverted leads</w:t>
            </w:r>
          </w:p>
        </w:tc>
        <w:tc>
          <w:tcPr>
            <w:tcW w:type="dxa" w:w="276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w:t>
            </w:r>
          </w:p>
        </w:tc>
        <w:tc>
          <w:tcPr>
            <w:tcW w:type="dxa" w:w="223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24 months after last activity</w:t>
            </w:r>
          </w:p>
        </w:tc>
        <w:tc>
          <w:tcPr>
            <w:tcW w:type="dxa" w:w="225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Scheduled flow purge</w:t>
            </w:r>
          </w:p>
        </w:tc>
      </w:tr>
      <w:tr>
        <w:trPr>
          <w:cantSplit/>
        </w:trPr>
        <w:tc>
          <w:tcPr>
            <w:tcW w:type="dxa" w:w="282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Marketing engagement</w:t>
            </w:r>
          </w:p>
        </w:tc>
        <w:tc>
          <w:tcPr>
            <w:tcW w:type="dxa" w:w="276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w:t>
            </w:r>
          </w:p>
        </w:tc>
        <w:tc>
          <w:tcPr>
            <w:tcW w:type="dxa" w:w="223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24 months</w:t>
            </w:r>
          </w:p>
        </w:tc>
        <w:tc>
          <w:tcPr>
            <w:tcW w:type="dxa" w:w="225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Data 360 retention ⚠</w:t>
            </w:r>
          </w:p>
        </w:tc>
      </w:tr>
      <w:tr>
        <w:trPr>
          <w:cantSplit/>
        </w:trPr>
        <w:tc>
          <w:tcPr>
            <w:tcW w:type="dxa" w:w="282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Chat transcripts</w:t>
            </w:r>
          </w:p>
        </w:tc>
        <w:tc>
          <w:tcPr>
            <w:tcW w:type="dxa" w:w="276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Keep complaint and hardship transcripts with their case files</w:t>
            </w:r>
          </w:p>
        </w:tc>
        <w:tc>
          <w:tcPr>
            <w:tcW w:type="dxa" w:w="223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2 years otherwise</w:t>
            </w:r>
          </w:p>
        </w:tc>
        <w:tc>
          <w:tcPr>
            <w:tcW w:type="dxa" w:w="225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Scheduled purge</w:t>
            </w:r>
          </w:p>
        </w:tc>
      </w:tr>
      <w:tr>
        <w:trPr>
          <w:cantSplit/>
        </w:trPr>
        <w:tc>
          <w:tcPr>
            <w:tcW w:type="dxa" w:w="282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Agent traces</w:t>
            </w:r>
          </w:p>
        </w:tc>
        <w:tc>
          <w:tcPr>
            <w:tcW w:type="dxa" w:w="276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w:t>
            </w:r>
          </w:p>
        </w:tc>
        <w:tc>
          <w:tcPr>
            <w:tcW w:type="dxa" w:w="223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30–90 days</w:t>
            </w:r>
          </w:p>
        </w:tc>
        <w:tc>
          <w:tcPr>
            <w:tcW w:type="dxa" w:w="225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Langfuse and Data 360 retention</w:t>
            </w:r>
          </w:p>
        </w:tc>
      </w:tr>
      <w:tr>
        <w:trPr>
          <w:cantSplit/>
        </w:trPr>
        <w:tc>
          <w:tcPr>
            <w:tcW w:type="dxa" w:w="282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Security logs</w:t>
            </w:r>
          </w:p>
        </w:tc>
        <w:tc>
          <w:tcPr>
            <w:tcW w:type="dxa" w:w="276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Policy (1 year+)</w:t>
            </w:r>
          </w:p>
        </w:tc>
        <w:tc>
          <w:tcPr>
            <w:tcW w:type="dxa" w:w="223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Policy</w:t>
            </w:r>
          </w:p>
        </w:tc>
        <w:tc>
          <w:tcPr>
            <w:tcW w:type="dxa" w:w="225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S3 lifecycle + Object Lock</w:t>
            </w:r>
          </w:p>
        </w:tc>
      </w:tr>
    </w:tbl>
    <w:p>
      <w:pPr>
        <w:spacing w:after="120"/>
      </w:pPr>
    </w:p>
    <w:p>
      <w:pPr>
        <w:pStyle w:val="Heading2"/>
      </w:pPr>
      <w:r>
        <w:t xml:space="preserve">GV6 — Non-production data</w:t>
      </w:r>
    </w:p>
    <w:p>
      <w:pPr>
        <w:spacing w:after="120"/>
      </w:pPr>
      <w:r>
        <w:t xml:space="preserve">Never copy production PII into scratch orgs or sandboxes. Seed with synthetic data (the generators in this programme), or use Salesforce Data Mask (paid) for sandboxes. Record the rule in the data policy and in the CI pipeline (no prod-data seeding job exists).</w:t>
      </w:r>
    </w:p>
    <w:p>
      <w:pPr>
        <w:pStyle w:val="Heading2"/>
      </w:pPr>
      <w:r>
        <w:t xml:space="preserve">GV7 — Backup and restore drill</w:t>
      </w:r>
    </w:p>
    <w:p>
      <w:pPr>
        <w:spacing w:after="120"/>
      </w:pPr>
      <w:r>
        <w:t xml:space="preserve">Back up metadata in Git (already done) and data with the Data Export service or Salesforce Backup (paid). Drill: delete 100 Contacts together with their in-flight deals and conditions, restore them from your export using the </w:t>
      </w:r>
      <w:r>
        <w:rPr>
          <w:rFonts w:ascii="Consolas" w:cs="Consolas" w:eastAsia="Consolas" w:hAnsi="Consolas"/>
          <w:sz w:val="19"/>
          <w:szCs w:val="19"/>
          <w:shd w:fill="EEF0F3" w:color="auto" w:val="clear"/>
        </w:rPr>
        <w:t xml:space="preserve">Legacy_Id__c</w:t>
      </w:r>
      <w:r>
        <w:t xml:space="preserve"> external IDs (which is why every record has one), and measure RTO and RPO for Salesforce data. Record them next to the AWS numbers from Module 10 R6. Loans don't need restoring from a Salesforce backup, because they rebuild from servicing.</w:t>
      </w:r>
    </w:p>
    <w:p>
      <w:pPr>
        <w:pStyle w:val="Heading2"/>
      </w:pPr>
      <w:r>
        <w:t xml:space="preserve">GV8 — AI data governance and model inventory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1304"/>
        <w:gridCol w:w="777"/>
        <w:gridCol w:w="1666"/>
        <w:gridCol w:w="1695"/>
        <w:gridCol w:w="2420"/>
      </w:tblGrid>
      <w:tr>
        <w:trPr>
          <w:cantSplit/>
          <w:tblHeader/>
        </w:trPr>
        <w:tc>
          <w:tcPr>
            <w:tcW w:type="dxa" w:w="2218"/>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5"/>
                <w:szCs w:val="15"/>
              </w:rPr>
              <w:t xml:space="preserve">Model or agent</w:t>
            </w:r>
          </w:p>
        </w:tc>
        <w:tc>
          <w:tcPr>
            <w:tcW w:type="dxa" w:w="1304"/>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5"/>
                <w:szCs w:val="15"/>
              </w:rPr>
              <w:t xml:space="preserve">Owner</w:t>
            </w:r>
          </w:p>
        </w:tc>
        <w:tc>
          <w:tcPr>
            <w:tcW w:type="dxa" w:w="777"/>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5"/>
                <w:szCs w:val="15"/>
              </w:rPr>
              <w:t xml:space="preserve">Risk rating</w:t>
            </w:r>
          </w:p>
        </w:tc>
        <w:tc>
          <w:tcPr>
            <w:tcW w:type="dxa" w:w="1666"/>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5"/>
                <w:szCs w:val="15"/>
              </w:rPr>
              <w:t xml:space="preserve">Data it may see</w:t>
            </w:r>
          </w:p>
        </w:tc>
        <w:tc>
          <w:tcPr>
            <w:tcW w:type="dxa" w:w="1695"/>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5"/>
                <w:szCs w:val="15"/>
              </w:rPr>
              <w:t xml:space="preserve">Validation</w:t>
            </w:r>
          </w:p>
        </w:tc>
        <w:tc>
          <w:tcPr>
            <w:tcW w:type="dxa" w:w="242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5"/>
                <w:szCs w:val="15"/>
              </w:rPr>
              <w:t xml:space="preserve">Monitoring</w:t>
            </w:r>
          </w:p>
        </w:tc>
      </w:tr>
      <w:tr>
        <w:trPr>
          <w:cantSplit/>
        </w:trPr>
        <w:tc>
          <w:tcPr>
            <w:tcW w:type="dxa" w:w="221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Apex Mortgage Assistant (Agentforce employee agent)</w:t>
            </w:r>
          </w:p>
        </w:tc>
        <w:tc>
          <w:tcPr>
            <w:tcW w:type="dxa" w:w="130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Retail lending platform</w:t>
            </w:r>
          </w:p>
        </w:tc>
        <w:tc>
          <w:tcPr>
            <w:tcW w:type="dxa" w:w="77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High</w:t>
            </w:r>
          </w:p>
        </w:tc>
        <w:tc>
          <w:tcPr>
            <w:tcW w:type="dxa" w:w="166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The user's own book; no restricted fields</w:t>
            </w:r>
          </w:p>
        </w:tc>
        <w:tc>
          <w:tcPr>
            <w:tcW w:type="dxa" w:w="169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Eval suite + Testing Center</w:t>
            </w:r>
          </w:p>
        </w:tc>
        <w:tc>
          <w:tcPr>
            <w:tcW w:type="dxa" w:w="24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Session traces, eval drift</w:t>
            </w:r>
          </w:p>
        </w:tc>
      </w:tr>
      <w:tr>
        <w:trPr>
          <w:cantSplit/>
        </w:trPr>
        <w:tc>
          <w:tcPr>
            <w:tcW w:type="dxa" w:w="221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Apex Borrower Assistant, Front Door, Renewal Desk, New Lending (Module 16)</w:t>
            </w:r>
          </w:p>
        </w:tc>
        <w:tc>
          <w:tcPr>
            <w:tcW w:type="dxa" w:w="130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Servicing, Retention, Retail lending</w:t>
            </w:r>
          </w:p>
        </w:tc>
        <w:tc>
          <w:tcPr>
            <w:tcW w:type="dxa" w:w="77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High</w:t>
            </w:r>
          </w:p>
        </w:tc>
        <w:tc>
          <w:tcPr>
            <w:tcW w:type="dxa" w:w="166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The verified borrower's own data only</w:t>
            </w:r>
          </w:p>
        </w:tc>
        <w:tc>
          <w:tcPr>
            <w:tcW w:type="dxa" w:w="169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Adversarial and routing suites (Module 16)</w:t>
            </w:r>
          </w:p>
        </w:tc>
        <w:tc>
          <w:tcPr>
            <w:tcW w:type="dxa" w:w="24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Handoff rate, disclosures, routing errors</w:t>
            </w:r>
          </w:p>
        </w:tc>
      </w:tr>
      <w:tr>
        <w:trPr>
          <w:cantSplit/>
        </w:trPr>
        <w:tc>
          <w:tcPr>
            <w:tcW w:type="dxa" w:w="221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LangGraph operations agent</w:t>
            </w:r>
          </w:p>
        </w:tc>
        <w:tc>
          <w:tcPr>
            <w:tcW w:type="dxa" w:w="130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Operations</w:t>
            </w:r>
          </w:p>
        </w:tc>
        <w:tc>
          <w:tcPr>
            <w:tcW w:type="dxa" w:w="77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Medium</w:t>
            </w:r>
          </w:p>
        </w:tc>
        <w:tc>
          <w:tcPr>
            <w:tcW w:type="dxa" w:w="166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The operations scope via token exchange</w:t>
            </w:r>
          </w:p>
        </w:tc>
        <w:tc>
          <w:tcPr>
            <w:tcW w:type="dxa" w:w="169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Trajectory evals</w:t>
            </w:r>
          </w:p>
        </w:tc>
        <w:tc>
          <w:tcPr>
            <w:tcW w:type="dxa" w:w="24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Budget breaches, traces</w:t>
            </w:r>
          </w:p>
        </w:tc>
      </w:tr>
      <w:tr>
        <w:trPr>
          <w:cantSplit/>
        </w:trPr>
        <w:tc>
          <w:tcPr>
            <w:tcW w:type="dxa" w:w="221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Credit Policy agent (A2A)</w:t>
            </w:r>
          </w:p>
        </w:tc>
        <w:tc>
          <w:tcPr>
            <w:tcW w:type="dxa" w:w="130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Credit Risk</w:t>
            </w:r>
          </w:p>
        </w:tc>
        <w:tc>
          <w:tcPr>
            <w:tcW w:type="dxa" w:w="77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High</w:t>
            </w:r>
          </w:p>
        </w:tc>
        <w:tc>
          <w:tcPr>
            <w:tcW w:type="dxa" w:w="166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Policies; context IDs, not personal data</w:t>
            </w:r>
          </w:p>
        </w:tc>
        <w:tc>
          <w:tcPr>
            <w:tcW w:type="dxa" w:w="169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Credit-policy suite (Module 12 A5)</w:t>
            </w:r>
          </w:p>
        </w:tc>
        <w:tc>
          <w:tcPr>
            <w:tcW w:type="dxa" w:w="24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Accuracy against underwriters' decisions</w:t>
            </w:r>
          </w:p>
        </w:tc>
      </w:tr>
      <w:tr>
        <w:trPr>
          <w:cantSplit/>
        </w:trPr>
        <w:tc>
          <w:tcPr>
            <w:tcW w:type="dxa" w:w="221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Qualification service</w:t>
            </w:r>
          </w:p>
        </w:tc>
        <w:tc>
          <w:tcPr>
            <w:tcW w:type="dxa" w:w="130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Credit Risk</w:t>
            </w:r>
          </w:p>
        </w:tc>
        <w:tc>
          <w:tcPr>
            <w:tcW w:type="dxa" w:w="77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High</w:t>
            </w:r>
          </w:p>
        </w:tc>
        <w:tc>
          <w:tcPr>
            <w:tcW w:type="dxa" w:w="166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Application figures only</w:t>
            </w:r>
          </w:p>
        </w:tc>
        <w:tc>
          <w:tcPr>
            <w:tcW w:type="dxa" w:w="169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Golden tests (Project 05)</w:t>
            </w:r>
          </w:p>
        </w:tc>
        <w:tc>
          <w:tcPr>
            <w:tcW w:type="dxa" w:w="24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Parameter version on every result; changes reviewed. A deterministic calculator; confirm with Model Risk whether E-23 scopes it as a model ⚠</w:t>
            </w:r>
          </w:p>
        </w:tc>
      </w:tr>
      <w:tr>
        <w:trPr>
          <w:cantSplit/>
        </w:trPr>
        <w:tc>
          <w:tcPr>
            <w:tcW w:type="dxa" w:w="221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Renewal-attrition model (SageMaker)</w:t>
            </w:r>
          </w:p>
        </w:tc>
        <w:tc>
          <w:tcPr>
            <w:tcW w:type="dxa" w:w="130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Analytics</w:t>
            </w:r>
          </w:p>
        </w:tc>
        <w:tc>
          <w:tcPr>
            <w:tcW w:type="dxa" w:w="77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Medium</w:t>
            </w:r>
          </w:p>
        </w:tc>
        <w:tc>
          <w:tcPr>
            <w:tcW w:type="dxa" w:w="166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Loan and payment features, no names</w:t>
            </w:r>
          </w:p>
        </w:tc>
        <w:tc>
          <w:tcPr>
            <w:tcW w:type="dxa" w:w="169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AUC, plus fairness by province and language</w:t>
            </w:r>
          </w:p>
        </w:tc>
        <w:tc>
          <w:tcPr>
            <w:tcW w:type="dxa" w:w="24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Drift, retraining trigger</w:t>
            </w:r>
          </w:p>
        </w:tc>
      </w:tr>
      <w:tr>
        <w:trPr>
          <w:cantSplit/>
        </w:trPr>
        <w:tc>
          <w:tcPr>
            <w:tcW w:type="dxa" w:w="221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IDP extraction</w:t>
            </w:r>
          </w:p>
        </w:tc>
        <w:tc>
          <w:tcPr>
            <w:tcW w:type="dxa" w:w="130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Operations</w:t>
            </w:r>
          </w:p>
        </w:tc>
        <w:tc>
          <w:tcPr>
            <w:tcW w:type="dxa" w:w="77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Medium</w:t>
            </w:r>
          </w:p>
        </w:tc>
        <w:tc>
          <w:tcPr>
            <w:tcW w:type="dxa" w:w="166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Uploaded income and down-payment documents</w:t>
            </w:r>
          </w:p>
        </w:tc>
        <w:tc>
          <w:tcPr>
            <w:tcW w:type="dxa" w:w="169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Accuracy on a labelled set</w:t>
            </w:r>
          </w:p>
        </w:tc>
        <w:tc>
          <w:tcPr>
            <w:tcW w:type="dxa" w:w="24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Low-confidence rate</w:t>
            </w:r>
          </w:p>
        </w:tc>
      </w:tr>
    </w:tbl>
    <w:p>
      <w:pPr>
        <w:spacing w:after="120"/>
      </w:pPr>
    </w:p>
    <w:p>
      <w:pPr>
        <w:spacing w:after="120"/>
      </w:pPr>
      <w:r>
        <w:t xml:space="preserve">OSFI's Guideline E-23 (final September 11, 2025; effective May 1, 2027) expects federally regulated institutions to keep exactly this kind of inventory, with risk ratings, lifecycle controls and monitoring, including for AI and vendor models. Apex treats it as a design driver.</w:t>
      </w:r>
    </w:p>
    <w:p>
      <w:pPr>
        <w:pBdr>
          <w:bottom w:val="single" w:color="BFBFBF" w:sz="6" w:space="1"/>
        </w:pBdr>
        <w:spacing w:after="120" w:before="120"/>
      </w:pPr>
    </w:p>
    <w:p>
      <w:pPr>
        <w:pStyle w:val="Heading1"/>
      </w:pPr>
      <w:bookmarkStart w:name="s9" w:id="9"/>
      <w:r>
        <w:t xml:space="preserve">9. Evidence, ADRs and exam readiness</w:t>
      </w:r>
      <w:bookmarkEnd w:id="9"/>
    </w:p>
    <w:p>
      <w:pPr>
        <w:spacing w:after="120"/>
      </w:pPr>
      <w:r>
        <w:t xml:space="preserve">Evidence:</w:t>
      </w:r>
    </w:p>
    <w:p>
      <w:pPr>
        <w:pStyle w:val="ListParagraph"/>
        <w:numPr>
          <w:ilvl w:val="0"/>
          <w:numId w:val="16"/>
        </w:numPr>
        <w:spacing w:after="60"/>
      </w:pPr>
      <w:r>
        <w:t xml:space="preserve">the ERD and the data dictionary;</w:t>
      </w:r>
    </w:p>
    <w:p>
      <w:pPr>
        <w:pStyle w:val="ListParagraph"/>
        <w:numPr>
          <w:ilvl w:val="0"/>
          <w:numId w:val="16"/>
        </w:numPr>
        <w:spacing w:after="60"/>
      </w:pPr>
      <w:r>
        <w:t xml:space="preserve">skew and query-plan screenshots;</w:t>
      </w:r>
    </w:p>
    <w:p>
      <w:pPr>
        <w:pStyle w:val="ListParagraph"/>
        <w:numPr>
          <w:ilvl w:val="0"/>
          <w:numId w:val="16"/>
        </w:numPr>
        <w:spacing w:after="60"/>
      </w:pPr>
      <w:r>
        <w:t xml:space="preserve">external-object tests and big-object queries;</w:t>
      </w:r>
    </w:p>
    <w:p>
      <w:pPr>
        <w:pStyle w:val="ListParagraph"/>
        <w:numPr>
          <w:ilvl w:val="0"/>
          <w:numId w:val="16"/>
        </w:numPr>
        <w:spacing w:after="60"/>
      </w:pPr>
      <w:r>
        <w:t xml:space="preserve">two migration rehearsals with timings and reconciliation reports, plus the cutover runbook;</w:t>
      </w:r>
    </w:p>
    <w:p>
      <w:pPr>
        <w:pStyle w:val="ListParagraph"/>
        <w:numPr>
          <w:ilvl w:val="0"/>
          <w:numId w:val="16"/>
        </w:numPr>
        <w:spacing w:after="60"/>
      </w:pPr>
      <w:r>
        <w:t xml:space="preserve">consent model screenshots;</w:t>
      </w:r>
    </w:p>
    <w:p>
      <w:pPr>
        <w:pStyle w:val="ListParagraph"/>
        <w:numPr>
          <w:ilvl w:val="0"/>
          <w:numId w:val="16"/>
        </w:numPr>
        <w:spacing w:after="60"/>
      </w:pPr>
      <w:r>
        <w:t xml:space="preserve">a completed privacy request across all systems;</w:t>
      </w:r>
    </w:p>
    <w:p>
      <w:pPr>
        <w:pStyle w:val="ListParagraph"/>
        <w:numPr>
          <w:ilvl w:val="0"/>
          <w:numId w:val="16"/>
        </w:numPr>
        <w:spacing w:after="60"/>
      </w:pPr>
      <w:r>
        <w:t xml:space="preserve">the retention schedule;</w:t>
      </w:r>
    </w:p>
    <w:p>
      <w:pPr>
        <w:pStyle w:val="ListParagraph"/>
        <w:numPr>
          <w:ilvl w:val="0"/>
          <w:numId w:val="16"/>
        </w:numPr>
        <w:spacing w:after="60"/>
      </w:pPr>
      <w:r>
        <w:t xml:space="preserve">restore drill results.</w:t>
      </w:r>
    </w:p>
    <w:p>
      <w:pPr>
        <w:spacing w:after="120"/>
      </w:pPr>
      <w:r>
        <w:t xml:space="preserve">ADRs:</w:t>
      </w:r>
    </w:p>
    <w:p>
      <w:pPr>
        <w:pStyle w:val="ListParagraph"/>
        <w:numPr>
          <w:ilvl w:val="0"/>
          <w:numId w:val="17"/>
        </w:numPr>
        <w:spacing w:after="60"/>
      </w:pPr>
      <w:r>
        <w:rPr>
          <w:b/>
          <w:bCs/>
        </w:rPr>
        <w:t xml:space="preserve">ADR-037</w:t>
      </w:r>
      <w:r>
        <w:t xml:space="preserve"> Person model: Contact + Household vs Person Accounts vs FSC households</w:t>
      </w:r>
    </w:p>
    <w:p>
      <w:pPr>
        <w:pStyle w:val="ListParagraph"/>
        <w:numPr>
          <w:ilvl w:val="0"/>
          <w:numId w:val="17"/>
        </w:numPr>
        <w:spacing w:after="60"/>
      </w:pPr>
      <w:r>
        <w:rPr>
          <w:b/>
          <w:bCs/>
        </w:rPr>
        <w:t xml:space="preserve">ADR-038</w:t>
      </w:r>
      <w:r>
        <w:t xml:space="preserve"> Adopt FSC standard objects (including its residential loan model) or keep the custom model</w:t>
      </w:r>
    </w:p>
    <w:p>
      <w:pPr>
        <w:pStyle w:val="ListParagraph"/>
        <w:numPr>
          <w:ilvl w:val="0"/>
          <w:numId w:val="17"/>
        </w:numPr>
        <w:spacing w:after="60"/>
      </w:pPr>
      <w:r>
        <w:rPr>
          <w:b/>
          <w:bCs/>
        </w:rPr>
        <w:t xml:space="preserve">ADR-039</w:t>
      </w:r>
      <w:r>
        <w:t xml:space="preserve"> Data tiering: objects, big object, external object, archive</w:t>
      </w:r>
    </w:p>
    <w:p>
      <w:pPr>
        <w:pStyle w:val="ListParagraph"/>
        <w:numPr>
          <w:ilvl w:val="0"/>
          <w:numId w:val="17"/>
        </w:numPr>
        <w:spacing w:after="60"/>
      </w:pPr>
      <w:r>
        <w:rPr>
          <w:b/>
          <w:bCs/>
        </w:rPr>
        <w:t xml:space="preserve">ADR-040</w:t>
      </w:r>
      <w:r>
        <w:t xml:space="preserve"> Migration approach and tooling (phased by branch, sf CLI + Bulk API 2.0, loans from servicing)</w:t>
      </w:r>
    </w:p>
    <w:p>
      <w:pPr>
        <w:pStyle w:val="ListParagraph"/>
        <w:numPr>
          <w:ilvl w:val="0"/>
          <w:numId w:val="17"/>
        </w:numPr>
        <w:spacing w:after="60"/>
      </w:pPr>
      <w:r>
        <w:rPr>
          <w:b/>
          <w:bCs/>
        </w:rPr>
        <w:t xml:space="preserve">ADR-041</w:t>
      </w:r>
      <w:r>
        <w:t xml:space="preserve"> MDM style, system of record and survivorship</w:t>
      </w:r>
    </w:p>
    <w:p>
      <w:pPr>
        <w:spacing w:after="120"/>
      </w:pPr>
      <w:r>
        <w:t xml:space="preserve">Exam plan (3 weeks after the labs):</w:t>
      </w:r>
    </w:p>
    <w:p>
      <w:pPr>
        <w:pStyle w:val="ListParagraph"/>
        <w:numPr>
          <w:ilvl w:val="0"/>
          <w:numId w:val="18"/>
        </w:numPr>
        <w:spacing w:after="60"/>
      </w:pPr>
      <w:r>
        <w:rPr>
          <w:b/>
          <w:bCs/>
        </w:rPr>
        <w:t xml:space="preserve">Week 1:</w:t>
      </w:r>
      <w:r>
        <w:t xml:space="preserve"> modeling, skew, LDV and the selectivity thresholds.</w:t>
      </w:r>
    </w:p>
    <w:p>
      <w:pPr>
        <w:pStyle w:val="ListParagraph"/>
        <w:numPr>
          <w:ilvl w:val="0"/>
          <w:numId w:val="18"/>
        </w:numPr>
        <w:spacing w:after="60"/>
      </w:pPr>
      <w:r>
        <w:rPr>
          <w:b/>
          <w:bCs/>
        </w:rPr>
        <w:t xml:space="preserve">Week 2:</w:t>
      </w:r>
      <w:r>
        <w:t xml:space="preserve"> migration (load order, bypass, deferred sharing, PK chunking) and MDM styles.</w:t>
      </w:r>
    </w:p>
    <w:p>
      <w:pPr>
        <w:pStyle w:val="ListParagraph"/>
        <w:numPr>
          <w:ilvl w:val="0"/>
          <w:numId w:val="18"/>
        </w:numPr>
        <w:spacing w:after="60"/>
      </w:pPr>
      <w:r>
        <w:rPr>
          <w:b/>
          <w:bCs/>
        </w:rPr>
        <w:t xml:space="preserve">Week 3:</w:t>
      </w:r>
      <w:r>
        <w:t xml:space="preserve"> governance, plus two timed practice exams.</w:t>
      </w:r>
    </w:p>
    <w:p>
      <w:pPr>
        <w:spacing w:after="120"/>
      </w:pPr>
      <w:r>
        <w:t xml:space="preserve">Be able to draw the Apex ERD and the tiering table from memory.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color w:val="595959"/>
        <w:sz w:val="16"/>
        <w:szCs w:val="16"/>
      </w:rPr>
      <w:t xml:space="preserve">Module 14</w:t>
    </w:r>
    <w:r>
      <w:rPr>
        <w:color w:val="595959"/>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Apex Home Lending · Agentic Architecture Programme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00"/>
      </w:pPr>
    </w:lvl>
    <w:lvl w:ilvl="1" w15:tentative="1">
      <w:start w:val="1"/>
      <w:numFmt w:val="bullet"/>
      <w:lvlText w:val="◦"/>
      <w:lvlJc w:val="left"/>
      <w:pPr>
        <w:ind w:left="1440" w:hanging="300"/>
      </w:pPr>
    </w:lvl>
    <w:lvl w:ilvl="2" w15:tentative="1">
      <w:start w:val="1"/>
      <w:numFmt w:val="bullet"/>
      <w:lvlText w:val="▪"/>
      <w:lvlJc w:val="left"/>
      <w:pPr>
        <w:ind w:left="2160" w:hanging="300"/>
      </w:pPr>
    </w:lvl>
    <w:lvl w:ilvl="3" w15:tentative="1">
      <w:start w:val="1"/>
      <w:numFmt w:val="bullet"/>
      <w:lvlText w:val="–"/>
      <w:lvlJc w:val="left"/>
      <w:pPr>
        <w:ind w:left="2880" w:hanging="30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2"/>
    <w:lvlOverride w:ilvl="0">
      <w:startOverride w:val="1"/>
    </w:lvlOverride>
  </w:num>
  <w:num w:numId="12">
    <w:abstractNumId w:val="2"/>
    <w:lvlOverride w:ilvl="0">
      <w:startOverride w:val="1"/>
    </w:lvlOverride>
  </w:num>
  <w:num w:numId="13">
    <w:abstractNumId w:val="2"/>
    <w:lvlOverride w:ilvl="0">
      <w:startOverride w:val="1"/>
    </w:lvlOverride>
  </w:num>
  <w:num w:numId="14">
    <w:abstractNumId w:val="2"/>
    <w:lvlOverride w:ilvl="0">
      <w:startOverride w:val="1"/>
    </w:lvlOverride>
  </w:num>
  <w:num w:numId="15">
    <w:abstractNumId w:val="2"/>
    <w:lvlOverride w:ilvl="0">
      <w:startOverride w:val="1"/>
    </w:lvlOverride>
  </w:num>
  <w:num w:numId="16">
    <w:abstractNumId w:val="2"/>
    <w:lvlOverride w:ilvl="0">
      <w:startOverride w:val="1"/>
    </w:lvlOverride>
  </w:num>
  <w:num w:numId="17">
    <w:abstractNumId w:val="2"/>
    <w:lvlOverride w:ilvl="0">
      <w:startOverride w:val="1"/>
    </w:lvlOverride>
  </w:num>
  <w:num w:numId="18">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DocTitle">
    <w:name w:val="Document Title"/>
    <w:basedOn w:val="Normal"/>
    <w:next w:val="Normal"/>
    <w:pPr>
      <w:spacing w:after="240" w:line="252" w:lineRule="auto"/>
    </w:pPr>
    <w:rPr>
      <w:rFonts w:ascii="Calibri" w:cs="Calibri" w:eastAsia="Calibri" w:hAnsi="Calibri"/>
      <w:b/>
      <w:bCs/>
      <w:color w:val="1F3864"/>
      <w:sz w:val="36"/>
      <w:szCs w:val="36"/>
    </w:rPr>
  </w:style>
  <w:style w:type="paragraph" w:styleId="Heading1">
    <w:name w:val="Heading 1"/>
    <w:basedOn w:val="Normal"/>
    <w:next w:val="Normal"/>
    <w:qFormat/>
    <w:pPr>
      <w:keepNext/>
      <w:pBdr>
        <w:bottom w:val="single" w:color="8EA9DB" w:sz="6" w:space="2"/>
      </w:pBdr>
      <w:spacing w:after="120" w:before="360"/>
      <w:outlineLvl w:val="0"/>
    </w:pPr>
    <w:rPr>
      <w:rFonts w:ascii="Calibri" w:cs="Calibri" w:eastAsia="Calibri" w:hAnsi="Calibri"/>
      <w:b/>
      <w:bCs/>
      <w:color w:val="1F3864"/>
      <w:sz w:val="30"/>
      <w:szCs w:val="30"/>
    </w:rPr>
  </w:style>
  <w:style w:type="paragraph" w:styleId="Heading2">
    <w:name w:val="Heading 2"/>
    <w:basedOn w:val="Normal"/>
    <w:next w:val="Normal"/>
    <w:qFormat/>
    <w:pPr>
      <w:keepNext/>
      <w:spacing w:after="100" w:before="280"/>
      <w:outlineLvl w:val="1"/>
    </w:pPr>
    <w:rPr>
      <w:rFonts w:ascii="Calibri" w:cs="Calibri" w:eastAsia="Calibri" w:hAnsi="Calibri"/>
      <w:b/>
      <w:bCs/>
      <w:color w:val="1F3864"/>
      <w:sz w:val="25"/>
      <w:szCs w:val="25"/>
    </w:rPr>
  </w:style>
  <w:style w:type="paragraph" w:styleId="Heading3">
    <w:name w:val="Heading 3"/>
    <w:basedOn w:val="Normal"/>
    <w:next w:val="Normal"/>
    <w:qFormat/>
    <w:pPr>
      <w:keepNext/>
      <w:spacing w:after="80" w:before="220"/>
      <w:outlineLvl w:val="2"/>
    </w:pPr>
    <w:rPr>
      <w:rFonts w:ascii="Calibri" w:cs="Calibri" w:eastAsia="Calibri" w:hAnsi="Calibri"/>
      <w:b/>
      <w:bCs/>
      <w:color w:val="2F5496"/>
      <w:sz w:val="22"/>
      <w:szCs w:val="22"/>
    </w:rPr>
  </w:style>
  <w:style w:type="paragraph" w:styleId="Heading4">
    <w:name w:val="Heading 4"/>
    <w:basedOn w:val="Normal"/>
    <w:next w:val="Normal"/>
    <w:qFormat/>
    <w:pPr>
      <w:keepNext/>
      <w:spacing w:after="60" w:before="180"/>
      <w:outlineLvl w:val="3"/>
    </w:pPr>
    <w:rPr>
      <w:rFonts w:ascii="Calibri" w:cs="Calibri" w:eastAsia="Calibri" w:hAnsi="Calibri"/>
      <w:b/>
      <w:bCs/>
      <w:i/>
      <w:iCs/>
      <w:color w:val="2F5496"/>
      <w:sz w:val="21"/>
      <w:szCs w:val="21"/>
    </w:rPr>
  </w:style>
  <w:style w:type="paragraph" w:styleId="Code">
    <w:name w:val="Code"/>
    <w:basedOn w:val="Normal"/>
    <w:pPr>
      <w:spacing w:line="240" w:lineRule="auto"/>
    </w:pPr>
    <w:rPr>
      <w:rFonts w:ascii="Consolas" w:cs="Consolas" w:eastAsia="Consolas" w:hAnsi="Consolas"/>
      <w:sz w:val="16"/>
      <w:szCs w:val="16"/>
    </w:rPr>
  </w:style>
  <w:style w:type="paragraph" w:styleId="CodeLabel">
    <w:name w:val="Code Label"/>
    <w:basedOn w:val="Normal"/>
    <w:pPr>
      <w:keepNext/>
      <w:spacing w:after="0" w:before="120"/>
    </w:pPr>
    <w:rPr>
      <w:rFonts w:ascii="Calibri" w:cs="Calibri" w:eastAsia="Calibri" w:hAnsi="Calibri"/>
      <w:caps/>
      <w:color w:val="7F7F7F"/>
      <w:sz w:val="14"/>
      <w:szCs w:val="14"/>
    </w:rPr>
  </w:style>
  <w:style w:type="paragraph" w:styleId="ContentsHeading">
    <w:name w:val="Contents Heading"/>
    <w:basedOn w:val="Normal"/>
    <w:pPr>
      <w:spacing w:after="80" w:before="240"/>
    </w:pPr>
    <w:rPr>
      <w:rFonts w:ascii="Calibri" w:cs="Calibri" w:eastAsia="Calibri" w:hAnsi="Calibri"/>
      <w:b/>
      <w:bCs/>
      <w:color w:val="1F3864"/>
      <w:sz w:val="24"/>
      <w:szCs w:val="24"/>
    </w:rPr>
  </w:style>
  <w:style w:type="paragraph" w:styleId="ContentsItem">
    <w:name w:val="Contents Item"/>
    <w:basedOn w:val="Normal"/>
    <w:pPr>
      <w:spacing w:after="20"/>
      <w:ind w:left="240"/>
    </w:pPr>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14 — Salesforce Data Architecture: Modeling, Large Data Volumes, Migration &amp; Governance</dc:title>
  <dc:creator>Apex Home Lending programme</dc:creator>
  <dc:description>Generated from 14-salesforce-data-architecture-migration-governance.md</dc:description>
  <cp:lastModifiedBy>Un-named</cp:lastModifiedBy>
  <cp:revision>1</cp:revision>
  <dcterms:created xsi:type="dcterms:W3CDTF">2026-10-20T04:21:46.011Z</dcterms:created>
  <dcterms:modified xsi:type="dcterms:W3CDTF">2026-10-20T04:21:46.011Z</dcterms:modified>
</cp:coreProperties>
</file>

<file path=docProps/custom.xml><?xml version="1.0" encoding="utf-8"?>
<Properties xmlns="http://schemas.openxmlformats.org/officeDocument/2006/custom-properties" xmlns:vt="http://schemas.openxmlformats.org/officeDocument/2006/docPropsVTypes"/>
</file>