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User Guide: Clustering of Unsupervised Behavioural Events</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README is the complete user guide.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r>
        <w:rPr>
          <w:b w:val="0"/>
          <w:i w:val="0"/>
          <w:color w:val="294861"/>
          <w:sz w:val="20"/>
        </w:rPr>
        <w:t>CUBE targets Windows with an NVIDIA GPU (pose inference only; clustering runs on CPU).</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cube.py</w:t>
      </w:r>
    </w:p>
    <w:p>
      <w:pPr>
        <w:spacing w:before="0" w:after="8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For GPU pose inference, install a CUDA build of PyTorch from pytorch.org </w:t>
      </w:r>
      <w:r>
        <w:rPr>
          <w:b/>
          <w:i w:val="0"/>
          <w:color w:val="0A2A49"/>
          <w:sz w:val="20"/>
        </w:rPr>
        <w:t>before</w:t>
      </w:r>
      <w:r>
        <w:rPr>
          <w:b w:val="0"/>
          <w:i w:val="0"/>
          <w:color w:val="294861"/>
          <w:sz w:val="20"/>
        </w:rPr>
        <w:t xml:space="preserve"> creating the environment's </w:t>
      </w:r>
      <w:r>
        <w:rPr>
          <w:rFonts w:ascii="Consolas" w:hAnsi="Consolas" w:eastAsia="Consolas"/>
          <w:b w:val="0"/>
          <w:i w:val="0"/>
          <w:color w:val="0A2A49"/>
          <w:sz w:val="18"/>
          <w:shd w:val="clear" w:color="auto" w:fill="E6EEF3"/>
        </w:rPr>
        <w:t>deeplabcut</w:t>
      </w:r>
      <w:r>
        <w:rPr>
          <w:b w:val="0"/>
          <w:i w:val="0"/>
          <w:color w:val="294861"/>
          <w:sz w:val="20"/>
        </w:rPr>
        <w:t xml:space="preserve"> package, then verify with </w:t>
      </w:r>
      <w:r>
        <w:rPr>
          <w:rFonts w:ascii="Consolas" w:hAnsi="Consolas" w:eastAsia="Consolas"/>
          <w:b w:val="0"/>
          <w:i w:val="0"/>
          <w:color w:val="0A2A49"/>
          <w:sz w:val="18"/>
          <w:shd w:val="clear" w:color="auto" w:fill="E6EEF3"/>
        </w:rPr>
        <w:t>python -c "import torch; print(torch.cuda.is_available())"</w:t>
      </w:r>
      <w:r>
        <w:rPr>
          <w:b w:val="0"/>
          <w:i w:val="0"/>
          <w:color w:val="294861"/>
          <w:sz w:val="20"/>
        </w:rPr>
        <w:t>.</w:t>
      </w:r>
    </w:p>
    <w:p>
      <w:r>
        <w:rPr>
          <w:b w:val="0"/>
          <w:i w:val="0"/>
          <w:color w:val="294861"/>
          <w:sz w:val="20"/>
        </w:rPr>
        <w:t>Verify the install: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-c "import cv2, customtkinter, imageio_ffmpeg, aniposelib, h5py, deeplabcut, hdbscan, umap; print('OK')"</w:t>
      </w:r>
    </w:p>
    <w:p>
      <w:pPr>
        <w:spacing w:before="0" w:after="80"/>
      </w:pPr>
    </w:p>
    <w:p>
      <w:r>
        <w:rPr>
          <w:b w:val="0"/>
          <w:i w:val="0"/>
          <w:color w:val="294861"/>
          <w:sz w:val="20"/>
        </w:rPr>
        <w:t>Standalone entry points (each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Command</w:t>
            </w:r>
          </w:p>
        </w:tc>
        <w:tc>
          <w:tcPr>
            <w:tcW w:type="dxa" w:w="5962"/>
            <w:shd w:val="clear" w:color="auto" w:fill="0A2A49"/>
          </w:tcPr>
          <w:p>
            <w:pPr>
              <w:spacing w:before="40" w:after="40" w:line="252" w:lineRule="auto"/>
            </w:pPr>
            <w:r>
              <w:rPr>
                <w:b/>
                <w:i w:val="0"/>
                <w:color w:val="FFFFFF"/>
                <w:sz w:val="18"/>
              </w:rPr>
              <w:t>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cube.py</w:t>
            </w:r>
          </w:p>
        </w:tc>
        <w:tc>
          <w:tcPr>
            <w:tcW w:type="dxa" w:w="5962"/>
            <w:shd w:val="clear" w:color="auto" w:fill="FFFFFF"/>
          </w:tcPr>
          <w:p>
            <w:pPr>
              <w:spacing w:before="40" w:after="40" w:line="252" w:lineRule="auto"/>
            </w:pPr>
            <w:r>
              <w:rPr>
                <w:b w:val="0"/>
                <w:i w:val="0"/>
                <w:color w:val="294861"/>
                <w:sz w:val="18"/>
              </w:rPr>
              <w:t>Main six-step pipeline</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bonsai_video_corrector.py</w:t>
            </w:r>
          </w:p>
        </w:tc>
        <w:tc>
          <w:tcPr>
            <w:tcW w:type="dxa" w:w="5962"/>
            <w:shd w:val="clear" w:color="auto" w:fill="F4F8FA"/>
          </w:tcPr>
          <w:p>
            <w:pPr>
              <w:spacing w:before="40" w:after="40" w:line="252" w:lineRule="auto"/>
            </w:pPr>
            <w:r>
              <w:rPr>
                <w:b w:val="0"/>
                <w:i w:val="0"/>
                <w:color w:val="294861"/>
                <w:sz w:val="18"/>
              </w:rPr>
              <w:t>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cube_analyser.py</w:t>
            </w:r>
          </w:p>
        </w:tc>
        <w:tc>
          <w:tcPr>
            <w:tcW w:type="dxa" w:w="5962"/>
            <w:shd w:val="clear" w:color="auto" w:fill="FFFFFF"/>
          </w:tcPr>
          <w:p>
            <w:pPr>
              <w:spacing w:before="40" w:after="40" w:line="252" w:lineRule="auto"/>
            </w:pPr>
            <w:r>
              <w:rPr>
                <w:b w:val="0"/>
                <w:i w:val="0"/>
                <w:color w:val="294861"/>
                <w:sz w:val="18"/>
              </w:rPr>
              <w:t>Step 5 on an existing results folder</w:t>
            </w:r>
          </w:p>
        </w:tc>
      </w:tr>
      <w:tr>
        <w:trPr>
          <w:cantSplit/>
        </w:trPr>
        <w:tc>
          <w:tcPr>
            <w:tcW w:type="dxa" w:w="3974"/>
            <w:shd w:val="clear" w:color="auto" w:fill="F4F8FA"/>
          </w:tcPr>
          <w:p>
            <w:pPr>
              <w:spacing w:before="40" w:after="40" w:line="252" w:lineRule="auto"/>
            </w:pPr>
            <w:r>
              <w:rPr>
                <w:rFonts w:ascii="Consolas" w:hAnsi="Consolas" w:eastAsia="Consolas"/>
                <w:b w:val="0"/>
                <w:i w:val="0"/>
                <w:color w:val="0A2A49"/>
                <w:sz w:val="16"/>
                <w:shd w:val="clear" w:color="auto" w:fill="E6EEF3"/>
              </w:rPr>
              <w:t>python cube_video_explorer.py</w:t>
            </w:r>
          </w:p>
        </w:tc>
        <w:tc>
          <w:tcPr>
            <w:tcW w:type="dxa" w:w="5962"/>
            <w:shd w:val="clear" w:color="auto" w:fill="F4F8FA"/>
          </w:tcPr>
          <w:p>
            <w:pPr>
              <w:spacing w:before="40" w:after="40" w:line="252" w:lineRule="auto"/>
            </w:pPr>
            <w:r>
              <w:rPr>
                <w:b w:val="0"/>
                <w:i w:val="0"/>
                <w:color w:val="294861"/>
                <w:sz w:val="18"/>
              </w:rPr>
              <w:t>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6"/>
                <w:shd w:val="clear" w:color="auto" w:fill="E6EEF3"/>
              </w:rPr>
              <w:t>calibration.toml</w:t>
            </w:r>
            <w:r>
              <w:rPr>
                <w:b w:val="0"/>
                <w:i w:val="0"/>
                <w:color w:val="294861"/>
                <w:sz w:val="18"/>
              </w:rPr>
              <w:t xml:space="preserve"> from a calibration recording</w:t>
            </w:r>
          </w:p>
        </w:tc>
      </w:tr>
    </w:tbl>
    <w:p>
      <w:pPr>
        <w:spacing w:before="0" w:after="120"/>
      </w:pPr>
    </w:p>
    <w:p>
      <w:r>
        <w:rPr>
          <w:b w:val="0"/>
          <w:i w:val="0"/>
          <w:color w:val="294861"/>
          <w:sz w:val="20"/>
        </w:rPr>
        <w:t>The window theme (</w:t>
      </w:r>
      <w:r>
        <w:rPr>
          <w:rFonts w:ascii="Consolas" w:hAnsi="Consolas" w:eastAsia="Consolas"/>
          <w:b w:val="0"/>
          <w:i w:val="0"/>
          <w:color w:val="0A2A49"/>
          <w:sz w:val="18"/>
          <w:shd w:val="clear" w:color="auto" w:fill="E6EEF3"/>
        </w:rPr>
        <w:t>dark</w:t>
      </w:r>
      <w:r>
        <w:rPr>
          <w:b w:val="0"/>
          <w:i w:val="0"/>
          <w:color w:val="294861"/>
          <w:sz w:val="20"/>
        </w:rPr>
        <w:t xml:space="preserve"> or </w:t>
      </w:r>
      <w:r>
        <w:rPr>
          <w:rFonts w:ascii="Consolas" w:hAnsi="Consolas" w:eastAsia="Consolas"/>
          <w:b w:val="0"/>
          <w:i w:val="0"/>
          <w:color w:val="0A2A49"/>
          <w:sz w:val="18"/>
          <w:shd w:val="clear" w:color="auto" w:fill="E6EEF3"/>
        </w:rPr>
        <w:t>light</w:t>
      </w:r>
      <w:r>
        <w:rPr>
          <w:b w:val="0"/>
          <w:i w:val="0"/>
          <w:color w:val="294861"/>
          <w:sz w:val="20"/>
        </w:rPr>
        <w:t xml:space="preserve">) is stored in </w:t>
      </w:r>
      <w:r>
        <w:rPr>
          <w:rFonts w:ascii="Consolas" w:hAnsi="Consolas" w:eastAsia="Consolas"/>
          <w:b w:val="0"/>
          <w:i w:val="0"/>
          <w:color w:val="0A2A49"/>
          <w:sz w:val="18"/>
          <w:shd w:val="clear" w:color="auto" w:fill="E6EEF3"/>
        </w:rPr>
        <w:t>theme.txt</w:t>
      </w:r>
      <w:r>
        <w:rPr>
          <w:b w:val="0"/>
          <w:i w:val="0"/>
          <w:color w:val="294861"/>
          <w:sz w:val="20"/>
        </w:rPr>
        <w:t>,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because native crashes in the render loop cannot be caught as Python exceptions.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w:t>
            </w:r>
            <w:r>
              <w:rPr>
                <w:b w:val="0"/>
                <w:i w:val="0"/>
                <w:color w:val="294861"/>
                <w:sz w:val="18"/>
              </w:rPr>
              <w:t xml:space="preserve"> (</w:t>
            </w:r>
            <w:r>
              <w:rPr>
                <w:rFonts w:ascii="Consolas" w:hAnsi="Consolas" w:eastAsia="Consolas"/>
                <w:b w:val="0"/>
                <w:i w:val="0"/>
                <w:color w:val="0A2A49"/>
                <w:sz w:val="16"/>
                <w:shd w:val="clear" w:color="auto" w:fill="E6EEF3"/>
              </w:rPr>
              <w:t>MIN_BODYPART_CONFIDENCE</w:t>
            </w:r>
            <w:r>
              <w:rPr>
                <w:b w:val="0"/>
                <w:i w:val="0"/>
                <w:color w:val="294861"/>
                <w:sz w:val="18"/>
              </w:rPr>
              <w:t>)</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0.35</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Documentation conflict, resolved by the code.</w:t>
      </w:r>
      <w:r>
        <w:rPr>
          <w:b w:val="0"/>
          <w:i w:val="0"/>
          <w:color w:val="294861"/>
          <w:sz w:val="20"/>
        </w:rPr>
        <w:t xml:space="preserve"> Older guides describe an </w:t>
      </w:r>
      <w:r>
        <w:rPr>
          <w:rFonts w:ascii="Consolas" w:hAnsi="Consolas" w:eastAsia="Consolas"/>
          <w:b w:val="0"/>
          <w:i w:val="0"/>
          <w:color w:val="0A2A49"/>
          <w:sz w:val="18"/>
          <w:shd w:val="clear" w:color="auto" w:fill="E6EEF3"/>
        </w:rPr>
        <w:t>MLPClassifier</w:t>
      </w:r>
      <w:r>
        <w:rPr>
          <w:b w:val="0"/>
          <w:i w:val="0"/>
          <w:color w:val="294861"/>
          <w:sz w:val="20"/>
        </w:rPr>
        <w:t xml:space="preserve"> as the default. The shipped default is a class-balanced </w:t>
      </w:r>
      <w:r>
        <w:rPr>
          <w:rFonts w:ascii="Consolas" w:hAnsi="Consolas" w:eastAsia="Consolas"/>
          <w:b w:val="0"/>
          <w:i w:val="0"/>
          <w:color w:val="0A2A49"/>
          <w:sz w:val="18"/>
          <w:shd w:val="clear" w:color="auto" w:fill="E6EEF3"/>
        </w:rPr>
        <w:t>RandomForestClassifier</w:t>
      </w:r>
      <w:r>
        <w:rPr>
          <w:b w:val="0"/>
          <w:i w:val="0"/>
          <w:color w:val="294861"/>
          <w:sz w:val="20"/>
        </w:rPr>
        <w:t xml:space="preserve">. scikit-learn's </w:t>
      </w:r>
      <w:r>
        <w:rPr>
          <w:rFonts w:ascii="Consolas" w:hAnsi="Consolas" w:eastAsia="Consolas"/>
          <w:b w:val="0"/>
          <w:i w:val="0"/>
          <w:color w:val="0A2A49"/>
          <w:sz w:val="18"/>
          <w:shd w:val="clear" w:color="auto" w:fill="E6EEF3"/>
        </w:rPr>
        <w:t>MLPClassifier</w:t>
      </w:r>
      <w:r>
        <w:rPr>
          <w:b w:val="0"/>
          <w:i w:val="0"/>
          <w:color w:val="294861"/>
          <w:sz w:val="20"/>
        </w:rPr>
        <w:t xml:space="preserve"> has no class-weight support, so on data with a large size imbalance between clusters it cannot down-weight majority clusters. Cross-validated accuracy is similar for both; the practical difference is </w:t>
      </w:r>
      <w:r>
        <w:rPr>
          <w:b w:val="0"/>
          <w:i/>
          <w:color w:val="294861"/>
          <w:sz w:val="20"/>
        </w:rPr>
        <w:t>which</w:t>
      </w:r>
      <w:r>
        <w:rPr>
          <w:b w:val="0"/>
          <w:i w:val="0"/>
          <w:color w:val="294861"/>
          <w:sz w:val="20"/>
        </w:rPr>
        <w:t xml:space="preserve"> behaviours the classifier captures. Use </w:t>
      </w:r>
      <w:r>
        <w:rPr>
          <w:rFonts w:ascii="Consolas" w:hAnsi="Consolas" w:eastAsia="Consolas"/>
          <w:b w:val="0"/>
          <w:i w:val="0"/>
          <w:color w:val="0A2A49"/>
          <w:sz w:val="18"/>
          <w:shd w:val="clear" w:color="auto" w:fill="E6EEF3"/>
        </w:rPr>
        <w:t>mlp_classifier = "mlp"</w:t>
      </w:r>
      <w:r>
        <w:rPr>
          <w:b w:val="0"/>
          <w:i w:val="0"/>
          <w:color w:val="294861"/>
          <w:sz w:val="20"/>
        </w:rPr>
        <w:t xml:space="preserve"> to restore the old behaviour exactly. The reported accuracy is a diagnostic of how learnable the clusters are, not a validation against ground truth.</w:t>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pre-2026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Fully parallel dispatch of UMAP/HDBSCAN fits on Windows has been associated with rare native crashes. If a run dies silently without a Python traceback, set the three sweep/seed/consensus job counts to </w:t>
      </w:r>
      <w:r>
        <w:rPr>
          <w:rFonts w:ascii="Consolas" w:hAnsi="Consolas" w:eastAsia="Consolas"/>
          <w:b w:val="0"/>
          <w:i w:val="0"/>
          <w:color w:val="0A2A49"/>
          <w:sz w:val="18"/>
          <w:shd w:val="clear" w:color="auto" w:fill="E6EEF3"/>
        </w:rPr>
        <w:t>1</w:t>
      </w:r>
      <w:r>
        <w:rPr>
          <w:b w:val="0"/>
          <w:i w:val="0"/>
          <w:color w:val="294861"/>
          <w:sz w:val="20"/>
        </w:rPr>
        <w:t xml:space="preserve"> and re-run; results do not change, only speed.</w:t>
      </w: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or a linear SVM with Platt scaling.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environment.yml</w:t>
            </w:r>
          </w:p>
        </w:tc>
        <w:tc>
          <w:tcPr>
            <w:tcW w:type="dxa" w:w="6698"/>
            <w:shd w:val="clear" w:color="auto" w:fill="FFFFFF"/>
          </w:tcPr>
          <w:p>
            <w:pPr>
              <w:spacing w:before="40" w:after="40" w:line="252" w:lineRule="auto"/>
            </w:pPr>
            <w:r>
              <w:rPr>
                <w:b w:val="0"/>
                <w:i w:val="0"/>
                <w:color w:val="294861"/>
                <w:sz w:val="18"/>
              </w:rPr>
              <w:t>Conda environment specification</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fails with a native crash</w:t>
            </w:r>
          </w:p>
        </w:tc>
        <w:tc>
          <w:tcPr>
            <w:tcW w:type="dxa" w:w="3234"/>
            <w:shd w:val="clear" w:color="auto" w:fill="FFFFFF"/>
          </w:tcPr>
          <w:p>
            <w:pPr>
              <w:spacing w:before="40" w:after="40" w:line="252" w:lineRule="auto"/>
            </w:pPr>
            <w:r>
              <w:rPr>
                <w:b w:val="0"/>
                <w:i w:val="0"/>
                <w:color w:val="294861"/>
                <w:sz w:val="18"/>
              </w:rPr>
              <w:t>Intermittent native-library fault during rendering</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