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reflect design choices rather than measured differences in performance. CUBE is under active development, and suggestions are very welcome.</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r>
        <w:rPr>
          <w:b w:val="0"/>
          <w:i w:val="0"/>
          <w:color w:val="294861"/>
          <w:sz w:val="20"/>
        </w:rPr>
        <w:t>CUBE targets Windows with an NVIDIA GPU (pose inference only; clustering runs on CPU).</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cube.py</w:t>
      </w:r>
    </w:p>
    <w:p>
      <w:pPr>
        <w:spacing w:before="0" w:after="8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For GPU pose inference, install a CUDA build of PyTorch from pytorch.org </w:t>
      </w:r>
      <w:r>
        <w:rPr>
          <w:b/>
          <w:i w:val="0"/>
          <w:color w:val="0A2A49"/>
          <w:sz w:val="20"/>
        </w:rPr>
        <w:t>before</w:t>
      </w:r>
      <w:r>
        <w:rPr>
          <w:b w:val="0"/>
          <w:i w:val="0"/>
          <w:color w:val="294861"/>
          <w:sz w:val="20"/>
        </w:rPr>
        <w:t xml:space="preserve"> creating the environment's </w:t>
      </w:r>
      <w:r>
        <w:rPr>
          <w:rFonts w:ascii="Consolas" w:hAnsi="Consolas" w:eastAsia="Consolas"/>
          <w:b w:val="0"/>
          <w:i w:val="0"/>
          <w:color w:val="0A2A49"/>
          <w:sz w:val="18"/>
          <w:shd w:val="clear" w:color="auto" w:fill="E6EEF3"/>
        </w:rPr>
        <w:t>deeplabcut</w:t>
      </w:r>
      <w:r>
        <w:rPr>
          <w:b w:val="0"/>
          <w:i w:val="0"/>
          <w:color w:val="294861"/>
          <w:sz w:val="20"/>
        </w:rPr>
        <w:t xml:space="preserve"> package, then verify with </w:t>
      </w:r>
      <w:r>
        <w:rPr>
          <w:rFonts w:ascii="Consolas" w:hAnsi="Consolas" w:eastAsia="Consolas"/>
          <w:b w:val="0"/>
          <w:i w:val="0"/>
          <w:color w:val="0A2A49"/>
          <w:sz w:val="18"/>
          <w:shd w:val="clear" w:color="auto" w:fill="E6EEF3"/>
        </w:rPr>
        <w:t>python -c "import torch; print(torch.cuda.is_available())"</w:t>
      </w:r>
      <w:r>
        <w:rPr>
          <w:b w:val="0"/>
          <w:i w:val="0"/>
          <w:color w:val="294861"/>
          <w:sz w:val="20"/>
        </w:rPr>
        <w:t>.</w:t>
      </w:r>
    </w:p>
    <w:p>
      <w:r>
        <w:rPr>
          <w:b w:val="0"/>
          <w:i w:val="0"/>
          <w:color w:val="294861"/>
          <w:sz w:val="20"/>
        </w:rPr>
        <w:t>Verify the install: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 "import cv2, customtkinter, imageio_ffmpeg, aniposelib, h5py, deeplabcut, hdbscan, umap; print('OK')"</w:t>
      </w:r>
    </w:p>
    <w:p>
      <w:pPr>
        <w:spacing w:before="0" w:after="80"/>
      </w:pPr>
    </w:p>
    <w:p>
      <w:r>
        <w:rPr>
          <w:b w:val="0"/>
          <w:i w:val="0"/>
          <w:color w:val="294861"/>
          <w:sz w:val="20"/>
        </w:rPr>
        <w:t>Standalone entry points (each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Command</w:t>
            </w:r>
          </w:p>
        </w:tc>
        <w:tc>
          <w:tcPr>
            <w:tcW w:type="dxa" w:w="5962"/>
            <w:shd w:val="clear" w:color="auto" w:fill="0A2A49"/>
          </w:tcPr>
          <w:p>
            <w:pPr>
              <w:spacing w:before="40" w:after="40" w:line="252" w:lineRule="auto"/>
            </w:pPr>
            <w:r>
              <w:rPr>
                <w:b/>
                <w:i w:val="0"/>
                <w:color w:val="FFFFFF"/>
                <w:sz w:val="18"/>
              </w:rPr>
              <w:t>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cube.py</w:t>
            </w:r>
          </w:p>
        </w:tc>
        <w:tc>
          <w:tcPr>
            <w:tcW w:type="dxa" w:w="5962"/>
            <w:shd w:val="clear" w:color="auto" w:fill="FFFFFF"/>
          </w:tcPr>
          <w:p>
            <w:pPr>
              <w:spacing w:before="40" w:after="40" w:line="252" w:lineRule="auto"/>
            </w:pPr>
            <w:r>
              <w:rPr>
                <w:b w:val="0"/>
                <w:i w:val="0"/>
                <w:color w:val="294861"/>
                <w:sz w:val="18"/>
              </w:rPr>
              <w:t>Main six-step pipeline</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bonsai_video_corrector.py</w:t>
            </w:r>
          </w:p>
        </w:tc>
        <w:tc>
          <w:tcPr>
            <w:tcW w:type="dxa" w:w="5962"/>
            <w:shd w:val="clear" w:color="auto" w:fill="F4F8FA"/>
          </w:tcPr>
          <w:p>
            <w:pPr>
              <w:spacing w:before="40" w:after="40" w:line="252" w:lineRule="auto"/>
            </w:pPr>
            <w:r>
              <w:rPr>
                <w:b w:val="0"/>
                <w:i w:val="0"/>
                <w:color w:val="294861"/>
                <w:sz w:val="18"/>
              </w:rPr>
              <w:t>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cube_analyser.py</w:t>
            </w:r>
          </w:p>
        </w:tc>
        <w:tc>
          <w:tcPr>
            <w:tcW w:type="dxa" w:w="5962"/>
            <w:shd w:val="clear" w:color="auto" w:fill="FFFFFF"/>
          </w:tcPr>
          <w:p>
            <w:pPr>
              <w:spacing w:before="40" w:after="40" w:line="252" w:lineRule="auto"/>
            </w:pPr>
            <w:r>
              <w:rPr>
                <w:b w:val="0"/>
                <w:i w:val="0"/>
                <w:color w:val="294861"/>
                <w:sz w:val="18"/>
              </w:rPr>
              <w:t>Step 5 on an existing results folder</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cube_video_explorer.py</w:t>
            </w:r>
          </w:p>
        </w:tc>
        <w:tc>
          <w:tcPr>
            <w:tcW w:type="dxa" w:w="5962"/>
            <w:shd w:val="clear" w:color="auto" w:fill="F4F8FA"/>
          </w:tcPr>
          <w:p>
            <w:pPr>
              <w:spacing w:before="40" w:after="40" w:line="252" w:lineRule="auto"/>
            </w:pPr>
            <w:r>
              <w:rPr>
                <w:b w:val="0"/>
                <w:i w:val="0"/>
                <w:color w:val="294861"/>
                <w:sz w:val="18"/>
              </w:rPr>
              <w:t>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6"/>
                <w:shd w:val="clear" w:color="auto" w:fill="E6EEF3"/>
              </w:rPr>
              <w:t>calibration.toml</w:t>
            </w:r>
            <w:r>
              <w:rPr>
                <w:b w:val="0"/>
                <w:i w:val="0"/>
                <w:color w:val="294861"/>
                <w:sz w:val="18"/>
              </w:rPr>
              <w:t xml:space="preserve"> from a calibration recording</w:t>
            </w:r>
          </w:p>
        </w:tc>
      </w:tr>
    </w:tbl>
    <w:p>
      <w:pPr>
        <w:spacing w:before="0" w:after="120"/>
      </w:pPr>
    </w:p>
    <w:p>
      <w:r>
        <w:rPr>
          <w:b w:val="0"/>
          <w:i w:val="0"/>
          <w:color w:val="294861"/>
          <w:sz w:val="20"/>
        </w:rPr>
        <w:t>The window theme (</w:t>
      </w:r>
      <w:r>
        <w:rPr>
          <w:rFonts w:ascii="Consolas" w:hAnsi="Consolas" w:eastAsia="Consolas"/>
          <w:b w:val="0"/>
          <w:i w:val="0"/>
          <w:color w:val="0A2A49"/>
          <w:sz w:val="18"/>
          <w:shd w:val="clear" w:color="auto" w:fill="E6EEF3"/>
        </w:rPr>
        <w:t>dark</w:t>
      </w:r>
      <w:r>
        <w:rPr>
          <w:b w:val="0"/>
          <w:i w:val="0"/>
          <w:color w:val="294861"/>
          <w:sz w:val="20"/>
        </w:rPr>
        <w:t xml:space="preserve"> or </w:t>
      </w:r>
      <w:r>
        <w:rPr>
          <w:rFonts w:ascii="Consolas" w:hAnsi="Consolas" w:eastAsia="Consolas"/>
          <w:b w:val="0"/>
          <w:i w:val="0"/>
          <w:color w:val="0A2A49"/>
          <w:sz w:val="18"/>
          <w:shd w:val="clear" w:color="auto" w:fill="E6EEF3"/>
        </w:rPr>
        <w:t>light</w:t>
      </w:r>
      <w:r>
        <w:rPr>
          <w:b w:val="0"/>
          <w:i w:val="0"/>
          <w:color w:val="294861"/>
          <w:sz w:val="20"/>
        </w:rPr>
        <w:t xml:space="preserve">) is stored in </w:t>
      </w:r>
      <w:r>
        <w:rPr>
          <w:rFonts w:ascii="Consolas" w:hAnsi="Consolas" w:eastAsia="Consolas"/>
          <w:b w:val="0"/>
          <w:i w:val="0"/>
          <w:color w:val="0A2A49"/>
          <w:sz w:val="18"/>
          <w:shd w:val="clear" w:color="auto" w:fill="E6EEF3"/>
        </w:rPr>
        <w:t>theme.txt</w:t>
      </w:r>
      <w:r>
        <w:rPr>
          <w:b w:val="0"/>
          <w:i w:val="0"/>
          <w:color w:val="294861"/>
          <w:sz w:val="20"/>
        </w:rPr>
        <w:t>,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or a linear SVM with Platt scaling.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environment.yml</w:t>
            </w:r>
          </w:p>
        </w:tc>
        <w:tc>
          <w:tcPr>
            <w:tcW w:type="dxa" w:w="6698"/>
            <w:shd w:val="clear" w:color="auto" w:fill="FFFFFF"/>
          </w:tcPr>
          <w:p>
            <w:pPr>
              <w:spacing w:before="40" w:after="40" w:line="252" w:lineRule="auto"/>
            </w:pPr>
            <w:r>
              <w:rPr>
                <w:b w:val="0"/>
                <w:i w:val="0"/>
                <w:color w:val="294861"/>
                <w:sz w:val="18"/>
              </w:rPr>
              <w:t>Conda environment specification</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