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 </w:t>
      </w:r>
      <w:r>
        <w:rPr>
          <w:b/>
          <w:i w:val="0"/>
          <w:sz w:val="21"/>
        </w:rPr>
        <w:t>On by default</w:t>
      </w:r>
      <w:r>
        <w:rPr>
          <w:b w:val="0"/>
          <w:i w:val="0"/>
          <w:sz w:val="21"/>
        </w:rPr>
        <w:t xml:space="preserve"> as of the settings-audit fix below.</w:t>
      </w:r>
    </w:p>
    <w:p>
      <w:pPr>
        <w:pStyle w:val="IntenseQuote"/>
        <w:spacing w:before="80" w:after="80"/>
      </w:pPr>
      <w:r>
        <w:rPr>
          <w:b/>
          <w:i/>
        </w:rPr>
        <w:t>Settings-audit fix:</w:t>
      </w:r>
      <w:r>
        <w:rPr>
          <w:b w:val="0"/>
          <w:i/>
        </w:rPr>
        <w:t xml:space="preserve"> Smart Adapt previously ignored several settings that only worked in the regular per-video "Video adapt" path — Pseudo threshold, Scale mode (Auto/Manual), Det batch size, Transfer learning, and the "Adapt epochs" slider (Advanced dialog's Det/Pose epoch spinboxes silently took over). All five now apply to Smart Adapt exactly as they do to the regular path. </w:t>
      </w:r>
      <w:r>
        <w:rPr>
          <w:rFonts w:ascii="Courier New" w:hAnsi="Courier New"/>
          <w:color w:val="C0392B"/>
          <w:sz w:val="18"/>
        </w:rPr>
        <w:t>AdvancedDLCWindow</w:t>
      </w:r>
      <w:r>
        <w:rPr>
          <w:b w:val="0"/>
          <w:i/>
        </w:rPr>
        <w:t xml:space="preserve">'s Architecture list also gained </w:t>
      </w:r>
      <w:r>
        <w:rPr>
          <w:rFonts w:ascii="Courier New" w:hAnsi="Courier New"/>
          <w:color w:val="C0392B"/>
          <w:sz w:val="18"/>
        </w:rPr>
        <w:t>dlcrnet</w:t>
      </w:r>
      <w:r>
        <w:rPr>
          <w:b w:val="0"/>
          <w:i/>
        </w:rPr>
        <w:t xml:space="preserve"> (DLC's bottom-up TensorFlow-engine option), and the "Adapt epochs" slider ceiling was raised from 30 to 200 to match the Advanced dialog's Det/Pose epoch spinboxes.</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This filter step is jitter-removal only — it denoises keypoints DLC is already confident about; it does not fill in missing/low-confidence frames. Only frames at or above the </w:t>
      </w:r>
      <w:r>
        <w:rPr>
          <w:b/>
          <w:i w:val="0"/>
        </w:rPr>
        <w:t>pose confidence (pcutoff)</w:t>
      </w:r>
      <w:r>
        <w:rPr>
          <w:b w:val="0"/>
          <w:i w:val="0"/>
        </w:rPr>
        <w:t xml:space="preserve"> threshold (default 0.6, same setting used for DLC inference itself) are smoothed, and only within runs of at least 7 consecutive confident frames — a short island of confident detections wedged between two long occlusions doesn't have enough same-quality neighbours for the filter to trust, so it's left untouched too. Frames below pcutoff, including DLC's "no detection" frames, keep their original raw value unmodified. Gap-filling those frames is Step 2's job (below), which sees the same unmodified confidence values and interpolates them from clean neighbours using its own gap-length cap.</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0.30). Frames below this are interpolated. Raise it if bodypart tracking is noisy; lower it if too many frames are being interpolated. Occlusions longer than </w:t>
      </w:r>
      <w:r>
        <w:rPr>
          <w:rFonts w:ascii="Courier New" w:hAnsi="Courier New"/>
          <w:color w:val="C0392B"/>
          <w:sz w:val="18"/>
        </w:rPr>
        <w:t>max_interp_gap_sec</w:t>
      </w:r>
      <w:r>
        <w:rPr>
          <w:b w:val="0"/>
          <w:i w:val="0"/>
        </w:rPr>
        <w:t xml:space="preserve"> (default 0.5 s) are held flat at the nearest good value instead of ramped in a straight line, so a long dropout doesn't get filled with implausible smooth motion.</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"Environments, Objects, Paradigms" on the main window)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center-zone entry frequency (looks for a traced region named containing "center"), a center-zone %-time-course across the trial, and a mean-speed distribution across animals</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 and an arm-entry sequence strip (one row per session, colored by occupied arm, hub in gray)</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 an open-arm %-time-course across the trial, and a head-dip/peering-out proxy bar (nose crossing the traced boundary edge — only shown when a boundary was traced; a geometric proxy, not a validated classifier)</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 a nose-to-novel-object distance time-course, an investigation bout-duration distribution, and a latency-to-first-contact bar</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 a nose-to-stranger distance time-course, an investigation bout-duration distribution, and a latency-to-first-contact-with-stranger bar</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 cumulative chamber-crossing time-course,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both a paired pre/post statistical comparison and a paired pre→post dumbbell plot (one line per matched subject)</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 Every bar chart in the tab — including these cross-tabs — additionally overlays each individual animal's own value as an unfilled ring on top of its group's bar.</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below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Toggled from the main window's </w:t>
      </w:r>
      <w:r>
        <w:rPr>
          <w:b/>
          <w:i w:val="0"/>
        </w:rPr>
        <w:t>Environments, Objects, Paradigms...</w:t>
      </w:r>
      <w:r>
        <w:rPr>
          <w:b w:val="0"/>
          <w:i w:val="0"/>
        </w:rPr>
        <w:t xml:space="preserve"> button, next to Environmental Context — enabling both together also unlocks approach/avoid object-interaction events (see below).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from the main window's </w:t>
      </w:r>
      <w:r>
        <w:rPr>
          <w:b/>
          <w:i w:val="0"/>
        </w:rPr>
        <w:t>Environments, Objects, Paradigms...</w:t>
      </w:r>
      <w:r>
        <w:rPr>
          <w:b w:val="0"/>
          <w:i w:val="0"/>
        </w:rPr>
        <w:t xml:space="preserve"> button (not nested inside Advanced CUBE Analysis), which also holds the interaction-threshold field, an auto-threshold preview, and kinematic directedness — ticking the checkbox there enables the </w:t>
      </w:r>
      <w:r>
        <w:rPr>
          <w:b/>
          <w:i w:val="0"/>
        </w:rPr>
        <w:t>Configure Arena, Regions &amp; Objects...</w:t>
      </w:r>
      <w:r>
        <w:rPr>
          <w:b w:val="0"/>
          <w:i w:val="0"/>
        </w:rPr>
        <w:t xml:space="preserve"> button,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every shape, including the boundary, needs &gt;= 3 points — a 2-point "boundary" can't form a closed region).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 xml:space="preserve">length" pixel distance per session from that session's own tracked spine length, used as the object-contact threshold for interaction-bout detection. Enter a specific positive pixel value in the Environments, Objects, Paradigms window to override, or click </w:t>
      </w:r>
      <w:r>
        <w:rPr>
          <w:b/>
          <w:i w:val="0"/>
        </w:rPr>
        <w:t>Preview auto value</w:t>
      </w:r>
      <w:r>
        <w:rPr>
          <w:b w:val="0"/>
          <w:i w:val="0"/>
        </w:rPr>
        <w:t xml:space="preserve"> to see what the auto-derived value would be for this project's first paired DLC file before deciding.</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Main window → </w:t>
            </w:r>
            <w:r>
              <w:rPr>
                <w:b/>
                <w:i w:val="0"/>
                <w:sz w:val="19"/>
              </w:rPr>
              <w:t>Environments, Objects, Paradigms...</w:t>
            </w:r>
            <w:r>
              <w:rPr>
                <w:b w:val="0"/>
                <w:i w:val="0"/>
                <w:sz w:val="19"/>
              </w:rPr>
              <w:t xml:space="preserve"> → tick </w:t>
            </w:r>
            <w:r>
              <w:rPr>
                <w:rFonts w:ascii="Courier New" w:hAnsi="Courier New"/>
                <w:color w:val="C0392B"/>
                <w:sz w:val="18"/>
              </w:rPr>
              <w:t>env_features_enabled</w:t>
            </w:r>
            <w:r>
              <w:rPr>
                <w:b w:val="0"/>
                <w:i w:val="0"/>
                <w:sz w:val="19"/>
              </w:rPr>
              <w:t xml:space="preserve"> → </w:t>
            </w:r>
            <w:r>
              <w:rPr>
                <w:b/>
                <w:i w:val="0"/>
                <w:sz w:val="19"/>
              </w:rPr>
              <w:t>Configure Arena, Regions &amp; Objects...</w:t>
            </w:r>
            <w:r>
              <w:rPr>
                <w:b w:val="0"/>
                <w:i w:val="0"/>
                <w:sz w:val="19"/>
              </w:rPr>
              <w:t xml:space="preserve">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 xml:space="preserve">4. Same </w:t>
            </w:r>
            <w:r>
              <w:rPr>
                <w:b/>
                <w:i w:val="0"/>
                <w:sz w:val="19"/>
              </w:rPr>
              <w:t>Environments, Objects, Paradigms...</w:t>
            </w:r>
            <w:r>
              <w:rPr>
                <w:b w:val="0"/>
                <w:i w:val="0"/>
                <w:sz w:val="19"/>
              </w:rPr>
              <w:t xml:space="preserve"> window</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Time-course, ethogram, distribution, and paired plots</w:t>
      </w:r>
    </w:p>
    <w:p>
      <w:pPr>
        <w:spacing w:after="120"/>
      </w:pPr>
      <w:r>
        <w:rPr>
          <w:b w:val="0"/>
          <w:i w:val="0"/>
        </w:rPr>
        <w:t xml:space="preserve">A second wave of shared components (added after the initial seven-sub-view build), all built from data already present in </w:t>
      </w:r>
      <w:r>
        <w:rPr>
          <w:rFonts w:ascii="Courier New" w:hAnsi="Courier New"/>
          <w:color w:val="C0392B"/>
          <w:sz w:val="18"/>
        </w:rPr>
        <w:t>session_env_context.json</w:t>
      </w:r>
      <w:r>
        <w:rPr>
          <w:b w:val="0"/>
          <w:i w:val="0"/>
        </w:rPr>
        <w:t xml:space="preserve"> — no pipeline/schema change was needed for most of them, since </w:t>
      </w:r>
      <w:r>
        <w:rPr>
          <w:rFonts w:ascii="Courier New" w:hAnsi="Courier New"/>
          <w:color w:val="C0392B"/>
          <w:sz w:val="18"/>
        </w:rPr>
        <w:t>compute_session_env_context()</w:t>
      </w:r>
      <w:r>
        <w:rPr>
          <w:b w:val="0"/>
          <w:i w:val="0"/>
        </w:rPr>
        <w:t xml:space="preserve"> already tracked nose-point distance and per-bin centroid position. Four new </w:t>
      </w:r>
      <w:r>
        <w:rPr>
          <w:rFonts w:ascii="Courier New" w:hAnsi="Courier New"/>
          <w:color w:val="C0392B"/>
          <w:sz w:val="18"/>
        </w:rPr>
        <w:t>region_roles</w:t>
      </w:r>
      <w:r>
        <w:rPr>
          <w:b w:val="0"/>
          <w:i w:val="0"/>
        </w:rPr>
        <w:t>/</w:t>
      </w:r>
      <w:r>
        <w:rPr>
          <w:rFonts w:ascii="Courier New" w:hAnsi="Courier New"/>
          <w:color w:val="C0392B"/>
          <w:sz w:val="18"/>
        </w:rPr>
        <w:t>object_roles</w:t>
      </w:r>
      <w:r>
        <w:rPr>
          <w:b w:val="0"/>
          <w:i w:val="0"/>
        </w:rPr>
        <w:t>/</w:t>
      </w:r>
      <w:r>
        <w:rPr>
          <w:rFonts w:ascii="Courier New" w:hAnsi="Courier New"/>
          <w:color w:val="C0392B"/>
          <w:sz w:val="18"/>
        </w:rPr>
        <w:t>dist_to_region_boundary_nose</w:t>
      </w:r>
      <w:r>
        <w:rPr>
          <w:b w:val="0"/>
          <w:i w:val="0"/>
        </w:rPr>
        <w:t>/</w:t>
      </w:r>
      <w:r>
        <w:rPr>
          <w:rFonts w:ascii="Courier New" w:hAnsi="Courier New"/>
          <w:color w:val="C0392B"/>
          <w:sz w:val="18"/>
        </w:rPr>
        <w:t>nose_outside_boundary</w:t>
      </w:r>
      <w:r>
        <w:rPr>
          <w:b w:val="0"/>
          <w:i w:val="0"/>
        </w:rPr>
        <w:t>/</w:t>
      </w:r>
      <w:r>
        <w:rPr>
          <w:rFonts w:ascii="Courier New" w:hAnsi="Courier New"/>
          <w:color w:val="C0392B"/>
          <w:sz w:val="18"/>
        </w:rPr>
        <w:t>object_interaction_ bout_lengths_sec</w:t>
      </w:r>
      <w:r>
        <w:rPr>
          <w:b w:val="0"/>
          <w:i w:val="0"/>
        </w:rPr>
        <w:t xml:space="preserve"> keys were added additively (existing keys unchanged) to unlock the rest — see </w:t>
      </w:r>
      <w:r>
        <w:rPr>
          <w:rFonts w:ascii="Courier New" w:hAnsi="Courier New"/>
          <w:color w:val="C0392B"/>
          <w:sz w:val="18"/>
        </w:rPr>
        <w:t>Environmental_Context_v6_Implementation_Report.md</w:t>
      </w:r>
      <w:r>
        <w:rPr>
          <w:b w:val="0"/>
          <w:i w:val="0"/>
        </w:rPr>
        <w:t>'s addendum for the exact schema.</w:t>
      </w:r>
    </w:p>
    <w:p>
      <w:pPr>
        <w:pStyle w:val="ListBullet"/>
      </w:pPr>
      <w:r>
        <w:rPr>
          <w:b/>
          <w:i w:val="0"/>
          <w:sz w:val="21"/>
        </w:rPr>
        <w:t>Time-course plots</w:t>
      </w:r>
      <w:r>
        <w:rPr>
          <w:b w:val="0"/>
          <w:i w:val="0"/>
          <w:sz w:val="21"/>
        </w:rPr>
        <w:t xml:space="preserve"> (</w:t>
      </w:r>
      <w:r>
        <w:rPr>
          <w:rFonts w:ascii="Courier New" w:hAnsi="Courier New"/>
          <w:color w:val="C0392B"/>
          <w:sz w:val="18"/>
        </w:rPr>
        <w:t>build_timecourse_figure</w:t>
      </w:r>
      <w:r>
        <w:rPr>
          <w:b w:val="0"/>
          <w:i w:val="0"/>
          <w:sz w:val="21"/>
        </w:rPr>
        <w:t>): mean ± SEM line per experimental group, x-axis = % of</w:t>
      </w:r>
    </w:p>
    <w:p>
      <w:pPr>
        <w:spacing w:after="120"/>
      </w:pPr>
      <w:r>
        <w:rPr>
          <w:b w:val="0"/>
          <w:i w:val="0"/>
        </w:rPr>
        <w:t>trial elapsed (not absolute time, so sessions of different duration still align on one shared axis). Used for: Open Field center-zone %, EPM open-arm %, Discrimination Index / Sociability investigation distance to the role-tagged object, and CPP cumulative chamber crossings.</w:t>
      </w:r>
    </w:p>
    <w:p>
      <w:pPr>
        <w:pStyle w:val="ListBullet"/>
      </w:pPr>
      <w:r>
        <w:rPr>
          <w:b/>
          <w:i w:val="0"/>
          <w:sz w:val="21"/>
        </w:rPr>
        <w:t>Region ethogram strip</w:t>
      </w:r>
      <w:r>
        <w:rPr>
          <w:b w:val="0"/>
          <w:i w:val="0"/>
          <w:sz w:val="21"/>
        </w:rPr>
        <w:t xml:space="preserve"> (</w:t>
      </w:r>
      <w:r>
        <w:rPr>
          <w:rFonts w:ascii="Courier New" w:hAnsi="Courier New"/>
          <w:color w:val="C0392B"/>
          <w:sz w:val="18"/>
        </w:rPr>
        <w:t>build_region_ethogram_figure</w:t>
      </w:r>
      <w:r>
        <w:rPr>
          <w:b w:val="0"/>
          <w:i w:val="0"/>
          <w:sz w:val="21"/>
        </w:rPr>
        <w:t>): one horizontal row per session, colored by</w:t>
      </w:r>
    </w:p>
    <w:p>
      <w:pPr>
        <w:spacing w:after="120"/>
      </w:pPr>
      <w:r>
        <w:rPr>
          <w:b w:val="0"/>
          <w:i w:val="0"/>
        </w:rPr>
        <w:t>which region the animal occupied over time — the Y-Maze arm-entry sequence view, mirroring the existing behavior-ethogram's broken-barh visual language.</w:t>
      </w:r>
    </w:p>
    <w:p>
      <w:pPr>
        <w:pStyle w:val="ListBullet"/>
      </w:pPr>
      <w:r>
        <w:rPr>
          <w:b/>
          <w:i w:val="0"/>
          <w:sz w:val="21"/>
        </w:rPr>
        <w:t>Bout-duration distribution</w:t>
      </w:r>
      <w:r>
        <w:rPr>
          <w:b w:val="0"/>
          <w:i w:val="0"/>
          <w:sz w:val="21"/>
        </w:rPr>
        <w:t xml:space="preserve"> (</w:t>
      </w:r>
      <w:r>
        <w:rPr>
          <w:rFonts w:ascii="Courier New" w:hAnsi="Courier New"/>
          <w:color w:val="C0392B"/>
          <w:sz w:val="18"/>
        </w:rPr>
        <w:t>build_distribution_figure</w:t>
      </w:r>
      <w:r>
        <w:rPr>
          <w:b w:val="0"/>
          <w:i w:val="0"/>
          <w:sz w:val="21"/>
        </w:rPr>
        <w:t>): overlapping per-group histograms + a rug of</w:t>
      </w:r>
    </w:p>
    <w:p>
      <w:pPr>
        <w:spacing w:after="120"/>
      </w:pPr>
      <w:r>
        <w:rPr>
          <w:b w:val="0"/>
          <w:i w:val="0"/>
        </w:rPr>
        <w:t>individual bout durations underneath — each point is one investigation bout, not one animal. Used for Discrimination Index and Sociability's object-interaction bouts, and Open Field's per-animal mean-speed distribution.</w:t>
      </w:r>
    </w:p>
    <w:p>
      <w:pPr>
        <w:pStyle w:val="ListBullet"/>
      </w:pPr>
      <w:r>
        <w:rPr>
          <w:b/>
          <w:i w:val="0"/>
          <w:sz w:val="21"/>
        </w:rPr>
        <w:t>Paired pre/post dumbbell</w:t>
      </w:r>
      <w:r>
        <w:rPr>
          <w:b w:val="0"/>
          <w:i w:val="0"/>
          <w:sz w:val="21"/>
        </w:rPr>
        <w:t xml:space="preserve"> (</w:t>
      </w:r>
      <w:r>
        <w:rPr>
          <w:rFonts w:ascii="Courier New" w:hAnsi="Courier New"/>
          <w:color w:val="C0392B"/>
          <w:sz w:val="18"/>
        </w:rPr>
        <w:t>build_paired_dumbbell_figure</w:t>
      </w:r>
      <w:r>
        <w:rPr>
          <w:b w:val="0"/>
          <w:i w:val="0"/>
          <w:sz w:val="21"/>
        </w:rPr>
        <w:t>): one connecting line per matched subject</w:t>
      </w:r>
    </w:p>
    <w:p>
      <w:pPr>
        <w:spacing w:after="120"/>
      </w:pPr>
      <w:r>
        <w:rPr>
          <w:b w:val="0"/>
          <w:i w:val="0"/>
        </w:rPr>
        <w:t>(Repeated Measures design only) — CPP's pre → post preference-index shift, the standard CPP figure showing individual-animal change rather than only a summary delta.</w:t>
      </w:r>
    </w:p>
    <w:p>
      <w:pPr>
        <w:pStyle w:val="ListBullet"/>
      </w:pPr>
      <w:r>
        <w:rPr>
          <w:b w:val="0"/>
          <w:i w:val="0"/>
          <w:sz w:val="21"/>
        </w:rPr>
        <w:t>All bar charts in this tab (</w:t>
      </w:r>
      <w:r>
        <w:rPr>
          <w:rFonts w:ascii="Courier New" w:hAnsi="Courier New"/>
          <w:color w:val="C0392B"/>
          <w:sz w:val="18"/>
        </w:rPr>
        <w:t>_index_bar_fig</w:t>
      </w:r>
      <w:r>
        <w:rPr>
          <w:b w:val="0"/>
          <w:i w:val="0"/>
          <w:sz w:val="21"/>
        </w:rPr>
        <w:t xml:space="preserve"> and the region/group cross-tab) additionally overlay each</w:t>
      </w:r>
    </w:p>
    <w:p>
      <w:pPr>
        <w:spacing w:after="120"/>
      </w:pPr>
      <w:r>
        <w:rPr>
          <w:b w:val="0"/>
          <w:i w:val="0"/>
        </w:rPr>
        <w:t>individual animal's own value as an unfilled ring on top of its group's bar — not just the mean ± SEM.</w:t>
      </w:r>
    </w:p>
    <w:p>
      <w:pPr>
        <w:pStyle w:val="Heading3"/>
        <w:spacing w:before="160" w:after="80"/>
      </w:pPr>
      <w:r>
        <w:rPr>
          <w:b/>
          <w:color w:val="1F497D"/>
          <w:sz w:val="24"/>
        </w:rPr>
        <w:t>2.4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center-zone entry frequency, a center-zone %-time-course across the trial (thigmotaxis dynamics, §2.3), and a mean-speed distribution across animals;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an arm-entry sequence strip (§2.3), one row per session, colored by which arm (or the hub, shown in gray) the animal occupied over time;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an open-arm %-time-course across the trial (§2.3); a "head-dip / peering-out" bar — the mean fraction of time the nose point fell outside the traced arena boundary while the body stayed on it (only shown when a boundary shape was traced) — a </w:t>
      </w:r>
      <w:r>
        <w:rPr>
          <w:b/>
          <w:i w:val="0"/>
        </w:rPr>
        <w:t>geometric proxy, not a validated head-dip or stretch-attend-posture classifier</w:t>
      </w:r>
      <w:r>
        <w:rPr>
          <w:b w:val="0"/>
          <w:i w:val="0"/>
        </w:rPr>
        <w:t xml:space="preserve">, using the new </w:t>
      </w:r>
      <w:r>
        <w:rPr>
          <w:rFonts w:ascii="Courier New" w:hAnsi="Courier New"/>
          <w:color w:val="C0392B"/>
          <w:sz w:val="18"/>
        </w:rPr>
        <w:t>nose_outside_boundary</w:t>
      </w:r>
      <w:r>
        <w:rPr>
          <w:b w:val="0"/>
          <w:i w:val="0"/>
        </w:rPr>
        <w:t xml:space="preserve"> per-bin key;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 The head-dip/peering-out bar is a cheap geometric proxy (nose crossed the traced boundary edge, body didn't) added because nose-point tracking was already available for objects but not applied to region boundaries — it is </w:t>
      </w:r>
      <w:r>
        <w:rPr>
          <w:b/>
          <w:i w:val="0"/>
        </w:rPr>
        <w:t>not</w:t>
      </w:r>
      <w:r>
        <w:rPr>
          <w:b w:val="0"/>
          <w:i w:val="0"/>
        </w:rPr>
        <w:t xml:space="preserve"> a validated stretch-attend-posture or head-dip behavioral classifier, and full posture-based SAP detection remains explicitly out of scope (deferred, along with the Y-Maze novel-arm variant).</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a nose-to-novel-object investigation-distance time-course across the trial (§2.3, lower = closer investigation); an investigation bout-duration distribution (each point is one bout, not one animal); a latency-to-first-contact bar;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a nose-to-stranger investigation-distance time-course across the trial (§2.3) </w:t>
      </w:r>
      <w:r>
        <w:rPr>
          <w:b/>
          <w:i w:val="0"/>
        </w:rPr>
        <w:t>in place of</w:t>
      </w:r>
      <w:r>
        <w:rPr>
          <w:b w:val="0"/>
          <w:i w:val="0"/>
        </w:rPr>
        <w:t xml:space="preserve"> a chamber-occupancy time-course — this paradigm's role vocabulary is on the traced objects (stranger/empty/novel_stranger), not the chamber regions, so a role-filtered %-time-in-chamber-over-time isn't available the way EPM's open/closed-arm time-course is; an investigation bout-duration distribution; a latency-to-first-contact-with-stranger bar;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xml:space="preserve">) </w:t>
      </w:r>
      <w:r>
        <w:rPr>
          <w:b/>
          <w:i w:val="0"/>
        </w:rPr>
        <w:t>and</w:t>
      </w:r>
      <w:r>
        <w:rPr>
          <w:b w:val="0"/>
          <w:i w:val="0"/>
        </w:rPr>
        <w:t xml:space="preserve"> a paired pre → post dumbbell plot (§2.3, one line per matched subject — the standard CPP figure for individual-animal change); a cumulative chamber-crossing time-course across the trial (activity control, shown for every design);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pStyle w:val="ListNumber"/>
      </w:pPr>
      <w:r>
        <w:rPr>
          <w:b/>
          <w:i w:val="0"/>
          <w:sz w:val="21"/>
        </w:rPr>
        <w:t>Nose-point tracking reaches region boundaries only through the new, narrow additions above</w:t>
      </w:r>
      <w:r>
        <w:rPr>
          <w:b w:val="0"/>
          <w:i w:val="0"/>
          <w:sz w:val="21"/>
        </w:rPr>
        <w:t xml:space="preserve"> (EPM's</w:t>
      </w:r>
    </w:p>
    <w:p>
      <w:pPr>
        <w:spacing w:after="120"/>
      </w:pPr>
      <w:r>
        <w:rPr>
          <w:b w:val="0"/>
          <w:i w:val="0"/>
        </w:rPr>
        <w:t xml:space="preserve">head-dip proxy, </w:t>
      </w:r>
      <w:r>
        <w:rPr>
          <w:rFonts w:ascii="Courier New" w:hAnsi="Courier New"/>
          <w:color w:val="C0392B"/>
          <w:sz w:val="18"/>
        </w:rPr>
        <w:t>dist_to_region_boundary_nose</w:t>
      </w:r>
      <w:r>
        <w:rPr>
          <w:b w:val="0"/>
          <w:i w:val="0"/>
        </w:rPr>
        <w:t xml:space="preserve">) — region/arm </w:t>
      </w:r>
      <w:r>
        <w:rPr>
          <w:b w:val="0"/>
          <w:i/>
        </w:rPr>
        <w:t>occupancy</w:t>
      </w:r>
      <w:r>
        <w:rPr>
          <w:b w:val="0"/>
          <w:i w:val="0"/>
        </w:rPr>
        <w:t xml:space="preserve"> itself (which region "counts" as the animal's location, feeding alternation %, time-in-region, entries) remains centroid-based throughout, unchanged by this pass. Only object interaction (discrimination index, sociability index, exploration bout timing) was ever nose-based. Don't read the new EPM head-dip bar as evidence that region membership generally became nose-aware — it didn't.</w:t>
      </w:r>
    </w:p>
    <w:p>
      <w:pPr>
        <w:pStyle w:val="ListNumber"/>
      </w:pPr>
      <w:r>
        <w:rPr>
          <w:b/>
          <w:i w:val="0"/>
          <w:sz w:val="21"/>
        </w:rPr>
        <w:t>Three-Chamber has no chamber-occupancy time-course</w:t>
      </w:r>
      <w:r>
        <w:rPr>
          <w:b w:val="0"/>
          <w:i w:val="0"/>
          <w:sz w:val="21"/>
        </w:rPr>
        <w:t xml:space="preserve"> (§3.5) — a direct consequence of its role</w:t>
      </w:r>
    </w:p>
    <w:p>
      <w:pPr>
        <w:spacing w:after="120"/>
      </w:pPr>
      <w:r>
        <w:rPr>
          <w:b w:val="0"/>
          <w:i w:val="0"/>
        </w:rPr>
        <w:t>vocabulary living on objects, not regions. This is a data-model constraint discovered while building the time-course plots, not an oversight; the nose-to-stranger investigation-distance time-course is the literature-relevant substitute this paradigm's data actually supports.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