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Bullet2"/>
      </w:pPr>
      <w:r>
        <w:rPr>
          <w:color w:val="005699"/>
          <w:sz w:val="21"/>
          <w:u w:val="single"/>
        </w:rPr>
        <w:t>Paradigm Results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3"/>
        <w:spacing w:before="160" w:after="80"/>
      </w:pPr>
      <w:r>
        <w:rPr>
          <w:b/>
          <w:color w:val="1F497D"/>
          <w:sz w:val="24"/>
        </w:rPr>
        <w:t>Paradigm Results Tab (v6 part 3)</w:t>
      </w:r>
    </w:p>
    <w:p>
      <w:pPr>
        <w:spacing w:after="120"/>
      </w:pPr>
      <w:r>
        <w:rPr>
          <w:b/>
          <w:i w:val="0"/>
        </w:rPr>
        <w:t>Behavioral-paradigm-specific reporting, built on top of the Environmental Context feature (v6 part 2).</w:t>
      </w:r>
    </w:p>
    <w:p>
      <w:pPr>
        <w:spacing w:after="120"/>
      </w:pPr>
      <w:r>
        <w:rPr>
          <w:b w:val="0"/>
          <w:i w:val="0"/>
        </w:rPr>
        <w:t xml:space="preserve">For the complete per-paradigm reference — exact tracing/role requirements, what data must exist at which pipeline stage, use cases, and known limitations for every graph in this tab — see </w:t>
      </w:r>
      <w:r>
        <w:rPr>
          <w:color w:val="005699"/>
          <w:u w:val="single"/>
        </w:rPr>
        <w:t>Behavioral_Paradigms_Reference.md</w:t>
      </w:r>
      <w:r>
        <w:rPr>
          <w:b w:val="0"/>
          <w:i w:val="0"/>
        </w:rPr>
        <w:t>. The summary below is a quick-start only.</w:t>
      </w:r>
    </w:p>
    <w:p>
      <w:pPr>
        <w:spacing w:after="120"/>
      </w:pPr>
      <w:r>
        <w:rPr>
          <w:b w:val="0"/>
          <w:i w:val="0"/>
        </w:rPr>
        <w:t xml:space="preserve">This tab only has content when at least one loaded session was run with </w:t>
      </w:r>
      <w:r>
        <w:rPr>
          <w:b/>
          <w:i w:val="0"/>
        </w:rPr>
        <w:t>Environmental Context tracing enabled</w:t>
      </w:r>
      <w:r>
        <w:rPr>
          <w:b w:val="0"/>
          <w:i w:val="0"/>
        </w:rPr>
        <w:t xml:space="preserve"> (</w:t>
      </w:r>
      <w:r>
        <w:rPr>
          <w:rFonts w:ascii="Courier New" w:hAnsi="Courier New"/>
          <w:color w:val="C0392B"/>
          <w:sz w:val="18"/>
        </w:rPr>
        <w:t>env_features_enabled</w:t>
      </w:r>
      <w:r>
        <w:rPr>
          <w:b w:val="0"/>
          <w:i w:val="0"/>
        </w:rPr>
        <w:t xml:space="preserve">, see "Environments, Objects, Paradigms" on the main window) and has a real </w:t>
      </w:r>
      <w:r>
        <w:rPr>
          <w:rFonts w:ascii="Courier New" w:hAnsi="Courier New"/>
          <w:color w:val="C0392B"/>
          <w:sz w:val="18"/>
        </w:rPr>
        <w:t>session_env_context.json</w:t>
      </w:r>
      <w:r>
        <w:rPr>
          <w:b w:val="0"/>
          <w:i w:val="0"/>
        </w:rPr>
        <w:t xml:space="preserve"> on disk — sessions predating v6, or run with the flag off, show a clear "no environmental context data" message instead of a plot, for every sub-view. The tab itself is always present in the tab bar (like every other tab); its content is what's gated on data availability.</w:t>
      </w:r>
    </w:p>
    <w:p>
      <w:pPr>
        <w:spacing w:after="120"/>
      </w:pPr>
      <w:r>
        <w:rPr>
          <w:b/>
          <w:i w:val="0"/>
        </w:rPr>
        <w:t>Quick start:</w:t>
      </w:r>
    </w:p>
    <w:p>
      <w:pPr>
        <w:pStyle w:val="ListNumber"/>
      </w:pPr>
      <w:r>
        <w:rPr>
          <w:b w:val="0"/>
          <w:i w:val="0"/>
          <w:sz w:val="21"/>
        </w:rPr>
        <w:t>Load sessions in the Combined Analysis tab as usual (a mix of sessions with and without environmental context data is fine).</w:t>
      </w:r>
    </w:p>
    <w:p>
      <w:pPr>
        <w:pStyle w:val="ListNumber"/>
      </w:pPr>
      <w:r>
        <w:rPr>
          <w:b w:val="0"/>
          <w:i w:val="0"/>
          <w:sz w:val="21"/>
        </w:rPr>
        <w:t xml:space="preserve">Switch to the Paradigm Results tab and click </w:t>
      </w:r>
      <w:r>
        <w:rPr>
          <w:b/>
          <w:i w:val="0"/>
          <w:sz w:val="21"/>
        </w:rPr>
        <w:t>Refresh from Loaded Sessions</w:t>
      </w:r>
      <w:r>
        <w:rPr>
          <w:b w:val="0"/>
          <w:i w:val="0"/>
          <w:sz w:val="21"/>
        </w:rPr>
        <w:t>.</w:t>
      </w:r>
    </w:p>
    <w:p>
      <w:pPr>
        <w:pStyle w:val="ListNumber"/>
      </w:pPr>
      <w:r>
        <w:rPr>
          <w:b w:val="0"/>
          <w:i w:val="0"/>
          <w:sz w:val="21"/>
        </w:rPr>
        <w:t xml:space="preserve">The sub-view matching your traced paradigm auto-selects. Use the </w:t>
      </w:r>
      <w:r>
        <w:rPr>
          <w:b/>
          <w:i w:val="0"/>
          <w:sz w:val="21"/>
        </w:rPr>
        <w:t>Paradigm Sub-view</w:t>
      </w:r>
      <w:r>
        <w:rPr>
          <w:b w:val="0"/>
          <w:i w:val="0"/>
          <w:sz w:val="21"/>
        </w:rPr>
        <w:t xml:space="preserve"> dropdown to browse others — a sub-view that doesn't match any loaded session's paradigm shows a placeholder rather than wrong data.</w:t>
      </w:r>
    </w:p>
    <w:p>
      <w:pPr>
        <w:spacing w:after="120"/>
      </w:pPr>
      <w:r>
        <w:rPr>
          <w:b/>
          <w:i w:val="0"/>
        </w:rPr>
        <w:t>The seven sub-views: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Sub-view</w:t>
            </w:r>
          </w:p>
        </w:tc>
        <w:tc>
          <w:tcPr>
            <w:tcW w:type="dxa" w:w="3120"/>
            <w:shd w:fill="2E74B5" w:val="clear"/>
          </w:tcPr>
          <w:p>
            <w:pPr>
              <w:spacing w:before="40" w:after="40"/>
            </w:pPr>
            <w:r>
              <w:rPr>
                <w:b/>
                <w:i w:val="0"/>
                <w:color w:val="FFFFFF"/>
                <w:sz w:val="19"/>
              </w:rPr>
              <w:t>Applies to paradigm</w:t>
            </w:r>
          </w:p>
        </w:tc>
        <w:tc>
          <w:tcPr>
            <w:tcW w:type="dxa" w:w="3120"/>
            <w:shd w:fill="2E74B5" w:val="clear"/>
          </w:tcPr>
          <w:p>
            <w:pPr>
              <w:spacing w:before="40" w:after="40"/>
            </w:pPr>
            <w:r>
              <w:rPr>
                <w:b/>
                <w:i w:val="0"/>
                <w:color w:val="FFFFFF"/>
                <w:sz w:val="19"/>
              </w:rPr>
              <w:t>What it shows</w:t>
            </w:r>
          </w:p>
        </w:tc>
      </w:tr>
      <w:tr>
        <w:tc>
          <w:tcPr>
            <w:tcW w:type="dxa" w:w="3120"/>
          </w:tcPr>
          <w:p>
            <w:pPr>
              <w:spacing w:before="40" w:after="40"/>
            </w:pPr>
            <w:r>
              <w:rPr>
                <w:b w:val="0"/>
                <w:i w:val="0"/>
                <w:sz w:val="19"/>
              </w:rPr>
              <w:t>Generic</w:t>
            </w:r>
          </w:p>
        </w:tc>
        <w:tc>
          <w:tcPr>
            <w:tcW w:type="dxa" w:w="3120"/>
          </w:tcPr>
          <w:p>
            <w:pPr>
              <w:spacing w:before="40" w:after="40"/>
            </w:pPr>
            <w:r>
              <w:rPr>
                <w:b w:val="0"/>
                <w:i w:val="0"/>
                <w:sz w:val="19"/>
              </w:rPr>
              <w:t xml:space="preserve">All paradigms (default for </w:t>
            </w:r>
            <w:r>
              <w:rPr>
                <w:rFonts w:ascii="Courier New" w:hAnsi="Courier New"/>
                <w:color w:val="C0392B"/>
                <w:sz w:val="18"/>
              </w:rPr>
              <w:t>custom</w:t>
            </w:r>
            <w:r>
              <w:rPr>
                <w:b w:val="0"/>
                <w:i w:val="0"/>
                <w:sz w:val="19"/>
              </w:rPr>
              <w:t>/Open Field)</w:t>
            </w:r>
          </w:p>
        </w:tc>
        <w:tc>
          <w:tcPr>
            <w:tcW w:type="dxa" w:w="3120"/>
          </w:tcPr>
          <w:p>
            <w:pPr>
              <w:spacing w:before="40" w:after="40"/>
            </w:pPr>
            <w:r>
              <w:rPr>
                <w:b w:val="0"/>
                <w:i w:val="0"/>
                <w:sz w:val="19"/>
              </w:rPr>
              <w:t>Whole-arena occupancy heatmap, region-time control bar; for Open Field specifically, also total distance traveled, center-zone entry frequency (looks for a traced region named containing "center"), a center-zone %-time-course across the trial, and a mean-speed distribution across animals</w:t>
            </w:r>
          </w:p>
        </w:tc>
      </w:tr>
      <w:tr>
        <w:tc>
          <w:tcPr>
            <w:tcW w:type="dxa" w:w="3120"/>
            <w:shd w:fill="EEF3FA" w:val="clear"/>
          </w:tcPr>
          <w:p>
            <w:pPr>
              <w:spacing w:before="40" w:after="40"/>
            </w:pPr>
            <w:r>
              <w:rPr>
                <w:b w:val="0"/>
                <w:i w:val="0"/>
                <w:sz w:val="19"/>
              </w:rPr>
              <w:t>Y-Maze Alternation</w:t>
            </w:r>
          </w:p>
        </w:tc>
        <w:tc>
          <w:tcPr>
            <w:tcW w:type="dxa" w:w="3120"/>
            <w:shd w:fill="EEF3FA" w:val="clear"/>
          </w:tcPr>
          <w:p>
            <w:pPr>
              <w:spacing w:before="40" w:after="40"/>
            </w:pPr>
            <w:r>
              <w:rPr>
                <w:rFonts w:ascii="Courier New" w:hAnsi="Courier New"/>
                <w:color w:val="C0392B"/>
                <w:sz w:val="18"/>
              </w:rPr>
              <w:t>y_maze</w:t>
            </w:r>
          </w:p>
        </w:tc>
        <w:tc>
          <w:tcPr>
            <w:tcW w:type="dxa" w:w="3120"/>
            <w:shd w:fill="EEF3FA" w:val="clear"/>
          </w:tcPr>
          <w:p>
            <w:pPr>
              <w:spacing w:before="40" w:after="40"/>
            </w:pPr>
            <w:r>
              <w:rPr>
                <w:b w:val="0"/>
                <w:i w:val="0"/>
                <w:sz w:val="19"/>
              </w:rPr>
              <w:t>Per-arm occupancy heatmap, spontaneous alternation %, total arm entries (activity control), and an arm-entry sequence strip (one row per session, colored by occupied arm, hub in gray)</w:t>
            </w:r>
          </w:p>
        </w:tc>
      </w:tr>
      <w:tr>
        <w:tc>
          <w:tcPr>
            <w:tcW w:type="dxa" w:w="3120"/>
          </w:tcPr>
          <w:p>
            <w:pPr>
              <w:spacing w:before="40" w:after="40"/>
            </w:pPr>
            <w:r>
              <w:rPr>
                <w:b w:val="0"/>
                <w:i w:val="0"/>
                <w:sz w:val="19"/>
              </w:rPr>
              <w:t>Elevated Plus Maze</w:t>
            </w:r>
          </w:p>
        </w:tc>
        <w:tc>
          <w:tcPr>
            <w:tcW w:type="dxa" w:w="3120"/>
          </w:tcPr>
          <w:p>
            <w:pPr>
              <w:spacing w:before="40" w:after="40"/>
            </w:pPr>
            <w:r>
              <w:rPr>
                <w:rFonts w:ascii="Courier New" w:hAnsi="Courier New"/>
                <w:color w:val="C0392B"/>
                <w:sz w:val="18"/>
              </w:rPr>
              <w:t>elevated_plus_maze</w:t>
            </w:r>
          </w:p>
        </w:tc>
        <w:tc>
          <w:tcPr>
            <w:tcW w:type="dxa" w:w="3120"/>
          </w:tcPr>
          <w:p>
            <w:pPr>
              <w:spacing w:before="40" w:after="40"/>
            </w:pPr>
            <w:r>
              <w:rPr>
                <w:b w:val="0"/>
                <w:i w:val="0"/>
                <w:sz w:val="19"/>
              </w:rPr>
              <w:t>Open- vs. closed-arm occupancy heatmap, % open-arm time/entries, latency to first open-arm entry, total arm entries (locomotor control), an open-arm %-time-course across the trial, and a head-dip/peering-out proxy bar (nose crossing the traced boundary edge — only shown when a boundary was traced; a geometric proxy, not a validated classifier)</w:t>
            </w:r>
          </w:p>
        </w:tc>
      </w:tr>
      <w:tr>
        <w:tc>
          <w:tcPr>
            <w:tcW w:type="dxa" w:w="3120"/>
            <w:shd w:fill="EEF3FA" w:val="clear"/>
          </w:tcPr>
          <w:p>
            <w:pPr>
              <w:spacing w:before="40" w:after="40"/>
            </w:pPr>
            <w:r>
              <w:rPr>
                <w:b w:val="0"/>
                <w:i w:val="0"/>
                <w:sz w:val="19"/>
              </w:rPr>
              <w:t>Discrimination Index</w:t>
            </w:r>
          </w:p>
        </w:tc>
        <w:tc>
          <w:tcPr>
            <w:tcW w:type="dxa" w:w="3120"/>
            <w:shd w:fill="EEF3FA" w:val="clear"/>
          </w:tcPr>
          <w:p>
            <w:pPr>
              <w:spacing w:before="40" w:after="40"/>
            </w:pPr>
            <w:r>
              <w:rPr>
                <w:rFonts w:ascii="Courier New" w:hAnsi="Courier New"/>
                <w:color w:val="C0392B"/>
                <w:sz w:val="18"/>
              </w:rPr>
              <w:t>novel_object</w:t>
            </w:r>
          </w:p>
        </w:tc>
        <w:tc>
          <w:tcPr>
            <w:tcW w:type="dxa" w:w="3120"/>
            <w:shd w:fill="EEF3FA" w:val="clear"/>
          </w:tcPr>
          <w:p>
            <w:pPr>
              <w:spacing w:before="40" w:after="40"/>
            </w:pPr>
            <w:r>
              <w:rPr>
                <w:b w:val="0"/>
                <w:i w:val="0"/>
                <w:sz w:val="19"/>
              </w:rPr>
              <w:t>Investigation-density heatmap around each object, discrimination index (tested against chance = 0), total exploration time (validity control), a nose-to-novel-object distance time-course, an investigation bout-duration distribution, and a latency-to-first-contact bar</w:t>
            </w:r>
          </w:p>
        </w:tc>
      </w:tr>
      <w:tr>
        <w:tc>
          <w:tcPr>
            <w:tcW w:type="dxa" w:w="3120"/>
          </w:tcPr>
          <w:p>
            <w:pPr>
              <w:spacing w:before="40" w:after="40"/>
            </w:pPr>
            <w:r>
              <w:rPr>
                <w:b w:val="0"/>
                <w:i w:val="0"/>
                <w:sz w:val="19"/>
              </w:rPr>
              <w:t>Sociability / Social Novelty</w:t>
            </w:r>
          </w:p>
        </w:tc>
        <w:tc>
          <w:tcPr>
            <w:tcW w:type="dxa" w:w="3120"/>
          </w:tcPr>
          <w:p>
            <w:pPr>
              <w:spacing w:before="40" w:after="40"/>
            </w:pPr>
            <w:r>
              <w:rPr>
                <w:rFonts w:ascii="Courier New" w:hAnsi="Courier New"/>
                <w:color w:val="C0392B"/>
                <w:sz w:val="18"/>
              </w:rPr>
              <w:t>three_chamber</w:t>
            </w:r>
          </w:p>
        </w:tc>
        <w:tc>
          <w:tcPr>
            <w:tcW w:type="dxa" w:w="3120"/>
          </w:tcPr>
          <w:p>
            <w:pPr>
              <w:spacing w:before="40" w:after="40"/>
            </w:pPr>
            <w:r>
              <w:rPr>
                <w:b w:val="0"/>
                <w:i w:val="0"/>
                <w:sz w:val="19"/>
              </w:rPr>
              <w:t>Per-chamber occupancy heatmap, Phase 1 sociability index and Phase 2 social-novelty index (each tested independently against 0), chamber entry frequency (activity control), a nose-to-stranger distance time-course, an investigation bout-duration distribution, and a latency-to-first-contact-with-stranger bar</w:t>
            </w:r>
          </w:p>
        </w:tc>
      </w:tr>
      <w:tr>
        <w:tc>
          <w:tcPr>
            <w:tcW w:type="dxa" w:w="3120"/>
            <w:shd w:fill="EEF3FA" w:val="clear"/>
          </w:tcPr>
          <w:p>
            <w:pPr>
              <w:spacing w:before="40" w:after="40"/>
            </w:pPr>
            <w:r>
              <w:rPr>
                <w:b w:val="0"/>
                <w:i w:val="0"/>
                <w:sz w:val="19"/>
              </w:rPr>
              <w:t>Place Preference / CPP</w:t>
            </w:r>
          </w:p>
        </w:tc>
        <w:tc>
          <w:tcPr>
            <w:tcW w:type="dxa" w:w="3120"/>
            <w:shd w:fill="EEF3FA" w:val="clear"/>
          </w:tcPr>
          <w:p>
            <w:pPr>
              <w:spacing w:before="40" w:after="40"/>
            </w:pPr>
            <w:r>
              <w:rPr>
                <w:rFonts w:ascii="Courier New" w:hAnsi="Courier New"/>
                <w:color w:val="C0392B"/>
                <w:sz w:val="18"/>
              </w:rPr>
              <w:t>place_preference</w:t>
            </w:r>
          </w:p>
        </w:tc>
        <w:tc>
          <w:tcPr>
            <w:tcW w:type="dxa" w:w="3120"/>
            <w:shd w:fill="EEF3FA" w:val="clear"/>
          </w:tcPr>
          <w:p>
            <w:pPr>
              <w:spacing w:before="40" w:after="40"/>
            </w:pPr>
            <w:r>
              <w:rPr>
                <w:b w:val="0"/>
                <w:i w:val="0"/>
                <w:sz w:val="19"/>
              </w:rPr>
              <w:t xml:space="preserve">Pre/post occupancy heatmap, preference index (tested against 0), a cumulative chamber-crossing time-course, and — when </w:t>
            </w:r>
            <w:r>
              <w:rPr>
                <w:b/>
                <w:i w:val="0"/>
                <w:sz w:val="19"/>
              </w:rPr>
              <w:t>Experimental Design</w:t>
            </w:r>
            <w:r>
              <w:rPr>
                <w:b w:val="0"/>
                <w:i w:val="0"/>
                <w:sz w:val="19"/>
              </w:rPr>
              <w:t xml:space="preserve"> is set to </w:t>
            </w:r>
            <w:r>
              <w:rPr>
                <w:b w:val="0"/>
                <w:i/>
                <w:sz w:val="19"/>
              </w:rPr>
              <w:t>Repeated Measures</w:t>
            </w:r>
            <w:r>
              <w:rPr>
                <w:b w:val="0"/>
                <w:i w:val="0"/>
                <w:sz w:val="19"/>
              </w:rPr>
              <w:t xml:space="preserve"> with a genuine pre-test phase — both a paired pre/post statistical comparison and a paired pre→post dumbbell plot (one line per matched subject)</w:t>
            </w:r>
          </w:p>
        </w:tc>
      </w:tr>
      <w:tr>
        <w:tc>
          <w:tcPr>
            <w:tcW w:type="dxa" w:w="3120"/>
          </w:tcPr>
          <w:p>
            <w:pPr>
              <w:spacing w:before="40" w:after="40"/>
            </w:pPr>
            <w:r>
              <w:rPr>
                <w:b w:val="0"/>
                <w:i w:val="0"/>
                <w:sz w:val="19"/>
              </w:rPr>
              <w:t>Approach/Avoid Events</w:t>
            </w:r>
          </w:p>
        </w:tc>
        <w:tc>
          <w:tcPr>
            <w:tcW w:type="dxa" w:w="3120"/>
          </w:tcPr>
          <w:p>
            <w:pPr>
              <w:spacing w:before="40" w:after="40"/>
            </w:pPr>
            <w:r>
              <w:rPr>
                <w:b w:val="0"/>
                <w:i w:val="0"/>
                <w:sz w:val="19"/>
              </w:rPr>
              <w:t>All paradigms</w:t>
            </w:r>
          </w:p>
        </w:tc>
        <w:tc>
          <w:tcPr>
            <w:tcW w:type="dxa" w:w="3120"/>
          </w:tcPr>
          <w:p>
            <w:pPr>
              <w:spacing w:before="40" w:after="40"/>
            </w:pPr>
            <w:r>
              <w:rPr>
                <w:b w:val="0"/>
                <w:i w:val="0"/>
                <w:sz w:val="19"/>
              </w:rPr>
              <w:t xml:space="preserve">Trajectory plot with each detected event drawn as a start→end arrow (green = approach, red = avoid), event rate, target distribution. </w:t>
            </w:r>
            <w:r>
              <w:rPr>
                <w:b/>
                <w:i w:val="0"/>
                <w:sz w:val="19"/>
              </w:rPr>
              <w:t>This sub-view is a rule-based heuristic, not yet validated against expert human scoring</w:t>
            </w:r>
            <w:r>
              <w:rPr>
                <w:b w:val="0"/>
                <w:i w:val="0"/>
                <w:sz w:val="19"/>
              </w:rPr>
              <w:t xml:space="preserve"> — treat it as a starting point for review, not a confirmed classification</w:t>
            </w:r>
          </w:p>
        </w:tc>
      </w:tr>
    </w:tbl>
    <w:p/>
    <w:p>
      <w:pPr>
        <w:spacing w:after="120"/>
      </w:pPr>
      <w:r>
        <w:rPr>
          <w:b w:val="0"/>
          <w:i w:val="0"/>
        </w:rPr>
        <w:t xml:space="preserve">Every sub-view also shows the </w:t>
      </w:r>
      <w:r>
        <w:rPr>
          <w:b/>
          <w:i w:val="0"/>
        </w:rPr>
        <w:t>cluster-by-region</w:t>
      </w:r>
      <w:r>
        <w:rPr>
          <w:b w:val="0"/>
          <w:i w:val="0"/>
        </w:rPr>
        <w:t xml:space="preserve"> and </w:t>
      </w:r>
      <w:r>
        <w:rPr>
          <w:b/>
          <w:i w:val="0"/>
        </w:rPr>
        <w:t>group-by-region occupancy cross-tab</w:t>
      </w:r>
      <w:r>
        <w:rPr>
          <w:b w:val="0"/>
          <w:i w:val="0"/>
        </w:rPr>
        <w:t xml:space="preserve"> (grouped bar charts of % time each HDBSCAN cluster or experimental group spends in each traced region), built once and shared across all seven. Every bar chart in the tab — including these cross-tabs — additionally overlays each individual animal's own value as an unfilled ring on top of its group's bar.</w:t>
      </w:r>
    </w:p>
    <w:p>
      <w:pPr>
        <w:spacing w:after="120"/>
      </w:pPr>
      <w:r>
        <w:rPr>
          <w:b/>
          <w:i w:val="0"/>
        </w:rPr>
        <w:t>Statistics:</w:t>
      </w:r>
      <w:r>
        <w:rPr>
          <w:b w:val="0"/>
          <w:i w:val="0"/>
        </w:rPr>
        <w:t xml:space="preserve"> between-group comparisons reuse the same Kruskal-Wallis/Dunn's machinery (and BH-FDR correction) as Unbiased Analytics. Discrimination Index and CPP additionally get a </w:t>
      </w:r>
      <w:r>
        <w:rPr>
          <w:b/>
          <w:i w:val="0"/>
        </w:rPr>
        <w:t>one-sample test against a fixed reference</w:t>
      </w:r>
      <w:r>
        <w:rPr>
          <w:b w:val="0"/>
          <w:i w:val="0"/>
        </w:rPr>
        <w:t xml:space="preserve"> (chance level, or zero delta) — shown with a dagger (†/††/†††) marker, visually distinct from the star (</w:t>
      </w:r>
      <w:r>
        <w:rPr>
          <w:b w:val="0"/>
          <w:i/>
        </w:rPr>
        <w:t>/</w:t>
      </w:r>
      <w:r>
        <w:rPr>
          <w:b w:val="0"/>
          <w:i/>
        </w:rPr>
        <w:t>/</w:t>
      </w:r>
      <w:r>
        <w:rPr>
          <w:b w:val="0"/>
          <w:i w:val="0"/>
        </w:rPr>
        <w:t>**) convention used for between-group brackets, so the two different questions ("does this differ between groups" vs. "does this differ from chance/zero") are never visually conflated.</w:t>
      </w:r>
    </w:p>
    <w:p>
      <w:pPr>
        <w:spacing w:after="120"/>
      </w:pPr>
      <w:r>
        <w:rPr>
          <w:b/>
          <w:i w:val="0"/>
        </w:rPr>
        <w:t>Occupancy heatmaps</w:t>
      </w:r>
      <w:r>
        <w:rPr>
          <w:b w:val="0"/>
          <w:i w:val="0"/>
        </w:rPr>
        <w:t xml:space="preserve"> show real 2D position density (viridis colormap). Region/object outlines drawn on top are an </w:t>
      </w:r>
      <w:r>
        <w:rPr>
          <w:b w:val="0"/>
          <w:i/>
        </w:rPr>
        <w:t>approximation</w:t>
      </w:r>
      <w:r>
        <w:rPr>
          <w:b w:val="0"/>
          <w:i w:val="0"/>
        </w:rPr>
        <w:t xml:space="preserve"> — the convex hull of positions actually recorded in that region/near that object — not the exact traced boundary, since the traced shape's own vertices aren't saved to any output file. Labeled "(approx.)" in the plot.</w:t>
      </w:r>
    </w:p>
    <w:p>
      <w:pPr>
        <w:spacing w:after="120"/>
      </w:pPr>
      <w:r>
        <w:rPr>
          <w:b/>
          <w:i w:val="0"/>
        </w:rPr>
        <w:t>Save All Results</w:t>
      </w:r>
      <w:r>
        <w:rPr>
          <w:b w:val="0"/>
          <w:i w:val="0"/>
        </w:rPr>
        <w:t xml:space="preserve"> (Combined Analysis tab) includes every applicable Paradigm Results sub-view's figures and a </w:t>
      </w:r>
      <w:r>
        <w:rPr>
          <w:rFonts w:ascii="Courier New" w:hAnsi="Courier New"/>
          <w:color w:val="C0392B"/>
          <w:sz w:val="18"/>
        </w:rPr>
        <w:t>paradigm_derived_metrics.csv</w:t>
      </w:r>
      <w:r>
        <w:rPr>
          <w:b w:val="0"/>
          <w:i w:val="0"/>
        </w:rPr>
        <w:t xml:space="preserve"> summary, alongside the other tabs' output.</w:t>
      </w:r>
    </w:p>
    <w:p>
      <w:pPr>
        <w:spacing w:after="120"/>
      </w:pPr>
      <w:r>
        <w:rPr>
          <w:b w:val="0"/>
          <w:i/>
        </w:rPr>
        <w:t>This tab requires Environmental Context tracing — see "Environmental Context &amp; Object Interaction" below for how to trace an arena and pick a paradigm before running the pipeline.</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Toggled from the main window's </w:t>
      </w:r>
      <w:r>
        <w:rPr>
          <w:b/>
          <w:i w:val="0"/>
        </w:rPr>
        <w:t>Environments, Objects, Paradigms...</w:t>
      </w:r>
      <w:r>
        <w:rPr>
          <w:b w:val="0"/>
          <w:i w:val="0"/>
        </w:rPr>
        <w:t xml:space="preserve"> button, next to Environmental Context — enabling both together also unlocks approach/avoid object-interaction events (see below).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from the main window's </w:t>
      </w:r>
      <w:r>
        <w:rPr>
          <w:b/>
          <w:i w:val="0"/>
        </w:rPr>
        <w:t>Environments, Objects, Paradigms...</w:t>
      </w:r>
      <w:r>
        <w:rPr>
          <w:b w:val="0"/>
          <w:i w:val="0"/>
        </w:rPr>
        <w:t xml:space="preserve"> button (not nested inside Advanced CUBE Analysis), which also holds the interaction-threshold field, an auto-threshold preview, and kinematic directedness — ticking the checkbox there enables the </w:t>
      </w:r>
      <w:r>
        <w:rPr>
          <w:b/>
          <w:i w:val="0"/>
        </w:rPr>
        <w:t>Configure Arena, Regions &amp; Objects...</w:t>
      </w:r>
      <w:r>
        <w:rPr>
          <w:b w:val="0"/>
          <w:i w:val="0"/>
        </w:rPr>
        <w:t xml:space="preserve"> button,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every shape, including the boundary, needs &gt;= 3 points — a 2-point "boundary" can't form a closed region).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 xml:space="preserve">length" pixel distance per session from that session's own tracked spine length, used as the object-contact threshold for interaction-bout detection. Enter a specific positive pixel value in the Environments, Objects, Paradigms window to override, or click </w:t>
      </w:r>
      <w:r>
        <w:rPr>
          <w:b/>
          <w:i w:val="0"/>
        </w:rPr>
        <w:t>Preview auto value</w:t>
      </w:r>
      <w:r>
        <w:rPr>
          <w:b w:val="0"/>
          <w:i w:val="0"/>
        </w:rPr>
        <w:t xml:space="preserve"> to see what the auto-derived value would be for this project's first paired DLC file before deciding.</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p>
      <w:r>
        <w:br w:type="page"/>
      </w:r>
    </w:p>
    <w:p>
      <w:pPr>
        <w:pStyle w:val="Heading1"/>
        <w:spacing w:before="280" w:after="80"/>
      </w:pPr>
      <w:r>
        <w:rPr>
          <w:b/>
          <w:color w:val="1F497D"/>
          <w:sz w:val="32"/>
        </w:rPr>
        <w:t>CUBE Behavioral Paradigms Reference</w:t>
      </w:r>
    </w:p>
    <w:p>
      <w:pPr>
        <w:pStyle w:val="Heading3"/>
        <w:spacing w:before="160" w:after="80"/>
      </w:pPr>
      <w:r>
        <w:rPr>
          <w:b/>
          <w:color w:val="1F497D"/>
          <w:sz w:val="24"/>
        </w:rPr>
        <w:t>Data requirements, staging, use cases, and limitations for the Analyser's Paradigm Results tab</w:t>
      </w:r>
    </w:p>
    <w:p>
      <w:pPr>
        <w:spacing w:after="120"/>
      </w:pPr>
      <w:r>
        <w:rPr>
          <w:b w:val="0"/>
          <w:i w:val="0"/>
        </w:rPr>
        <w:t>This document is the scientific reference for CUBE's Paradigm Results tab (</w:t>
      </w:r>
      <w:r>
        <w:rPr>
          <w:rFonts w:ascii="Courier New" w:hAnsi="Courier New"/>
          <w:color w:val="C0392B"/>
          <w:sz w:val="18"/>
        </w:rPr>
        <w:t>cube_analyser.py</w:t>
      </w:r>
      <w:r>
        <w:rPr>
          <w:b w:val="0"/>
          <w:i w:val="0"/>
        </w:rPr>
        <w:t xml:space="preserve">, </w:t>
      </w:r>
      <w:r>
        <w:rPr>
          <w:rFonts w:ascii="Courier New" w:hAnsi="Courier New"/>
          <w:color w:val="C0392B"/>
          <w:sz w:val="18"/>
        </w:rPr>
        <w:t>ParadigmResultsPanel</w:t>
      </w:r>
      <w:r>
        <w:rPr>
          <w:b w:val="0"/>
          <w:i w:val="0"/>
        </w:rPr>
        <w:t xml:space="preserve">) — what data and tracing each paradigm-specific view requires, at which pipeline stage, what each graph answers, and where the analysis is known to be limited. It is a companion to </w:t>
      </w:r>
      <w:r>
        <w:rPr>
          <w:rFonts w:ascii="Courier New" w:hAnsi="Courier New"/>
          <w:color w:val="C0392B"/>
          <w:sz w:val="18"/>
        </w:rPr>
        <w:t>README.md</w:t>
      </w:r>
      <w:r>
        <w:rPr>
          <w:b w:val="0"/>
          <w:i w:val="0"/>
        </w:rPr>
        <w:t xml:space="preserve"> (feature summary), </w:t>
      </w:r>
      <w:r>
        <w:rPr>
          <w:rFonts w:ascii="Courier New" w:hAnsi="Courier New"/>
          <w:color w:val="C0392B"/>
          <w:sz w:val="18"/>
        </w:rPr>
        <w:t>CUBE_GUIDE.md</w:t>
      </w:r>
      <w:r>
        <w:rPr>
          <w:b w:val="0"/>
          <w:i w:val="0"/>
        </w:rPr>
        <w:t xml:space="preserve"> (step-by-step usage), and </w:t>
      </w:r>
      <w:r>
        <w:rPr>
          <w:rFonts w:ascii="Courier New" w:hAnsi="Courier New"/>
          <w:color w:val="C0392B"/>
          <w:sz w:val="18"/>
        </w:rPr>
        <w:t>CUBE_ANALYSIS_METHODOLOGY.md</w:t>
      </w:r>
      <w:r>
        <w:rPr>
          <w:b w:val="0"/>
          <w:i w:val="0"/>
        </w:rPr>
        <w:t xml:space="preserve"> (clustering methodology) — this document covers only the paradigm-reporting layer built on top of the Environmental Context feature (</w:t>
      </w:r>
      <w:r>
        <w:rPr>
          <w:rFonts w:ascii="Courier New" w:hAnsi="Courier New"/>
          <w:color w:val="C0392B"/>
          <w:sz w:val="18"/>
        </w:rPr>
        <w:t>env_features_enabled</w:t>
      </w:r>
      <w:r>
        <w:rPr>
          <w:b w:val="0"/>
          <w:i w:val="0"/>
        </w:rPr>
        <w:t>) and, for two graphs, the Kinematic Directedness feature (</w:t>
      </w:r>
      <w:r>
        <w:rPr>
          <w:rFonts w:ascii="Courier New" w:hAnsi="Courier New"/>
          <w:color w:val="C0392B"/>
          <w:sz w:val="18"/>
        </w:rPr>
        <w:t>kinematic_directedness_enabled</w:t>
      </w:r>
      <w:r>
        <w:rPr>
          <w:b w:val="0"/>
          <w:i w:val="0"/>
        </w:rPr>
        <w:t xml:space="preserve">). Implementation detail beyond what a user/reviewer needs is in </w:t>
      </w:r>
      <w:r>
        <w:rPr>
          <w:rFonts w:ascii="Courier New" w:hAnsi="Courier New"/>
          <w:color w:val="C0392B"/>
          <w:sz w:val="18"/>
        </w:rPr>
        <w:t>Environmental_Context_v6_Implementation_Report.md</w:t>
      </w:r>
      <w:r>
        <w:rPr>
          <w:b w:val="0"/>
          <w:i w:val="0"/>
        </w:rPr>
        <w:t xml:space="preserve">, </w:t>
      </w:r>
      <w:r>
        <w:rPr>
          <w:rFonts w:ascii="Courier New" w:hAnsi="Courier New"/>
          <w:color w:val="C0392B"/>
          <w:sz w:val="18"/>
        </w:rPr>
        <w:t>Kinematics_v6_Implementation_Report.md</w:t>
      </w:r>
      <w:r>
        <w:rPr>
          <w:b w:val="0"/>
          <w:i w:val="0"/>
        </w:rPr>
        <w:t xml:space="preserve">, and </w:t>
      </w:r>
      <w:r>
        <w:rPr>
          <w:rFonts w:ascii="Courier New" w:hAnsi="Courier New"/>
          <w:color w:val="C0392B"/>
          <w:sz w:val="18"/>
        </w:rPr>
        <w:t>Analyser_Paradigm_Reporting_v6_Implementation_Report.md</w:t>
      </w:r>
      <w:r>
        <w:rPr>
          <w:b w:val="0"/>
          <w:i w:val="0"/>
        </w:rPr>
        <w:t>.</w:t>
      </w:r>
    </w:p>
    <w:p>
      <w:pPr>
        <w:spacing w:before="80" w:after="80"/>
        <w:pBdr>
          <w:bottom w:val="single" w:sz="6" w:space="1" w:color="CCCCCC"/>
        </w:pBdr>
      </w:pPr>
    </w:p>
    <w:p>
      <w:pPr>
        <w:pStyle w:val="Heading2"/>
        <w:spacing w:before="200" w:after="80"/>
      </w:pPr>
      <w:r>
        <w:rPr>
          <w:b/>
          <w:color w:val="2E74B5"/>
          <w:sz w:val="28"/>
        </w:rPr>
        <w:t>1. Prerequisites — what must exist before the tab shows anything</w:t>
      </w:r>
    </w:p>
    <w:p>
      <w:pPr>
        <w:spacing w:after="120"/>
      </w:pPr>
      <w:r>
        <w:rPr>
          <w:b w:val="0"/>
          <w:i w:val="0"/>
        </w:rPr>
        <w:t xml:space="preserve">The Paradigm Results tab reads three files a pipeline run writes under </w:t>
      </w:r>
      <w:r>
        <w:rPr>
          <w:rFonts w:ascii="Courier New" w:hAnsi="Courier New"/>
          <w:color w:val="C0392B"/>
          <w:sz w:val="18"/>
        </w:rPr>
        <w:t>&lt;output_dir&gt;/</w:t>
      </w:r>
      <w:r>
        <w:rPr>
          <w:b w:val="0"/>
          <w:i w:val="0"/>
        </w:rPr>
        <w:t xml:space="preserve">: </w:t>
      </w:r>
      <w:r>
        <w:rPr>
          <w:rFonts w:ascii="Courier New" w:hAnsi="Courier New"/>
          <w:color w:val="C0392B"/>
          <w:sz w:val="18"/>
        </w:rPr>
        <w:t>model/session_env_context.json</w:t>
      </w:r>
      <w:r>
        <w:rPr>
          <w:b w:val="0"/>
          <w:i w:val="0"/>
        </w:rPr>
        <w:t xml:space="preserve">, </w:t>
      </w:r>
      <w:r>
        <w:rPr>
          <w:rFonts w:ascii="Courier New" w:hAnsi="Courier New"/>
          <w:color w:val="C0392B"/>
          <w:sz w:val="18"/>
        </w:rPr>
        <w:t>bout_lengths/*_bout_lengths_hmm_enriched.csv</w:t>
      </w:r>
      <w:r>
        <w:rPr>
          <w:b w:val="0"/>
          <w:i w:val="0"/>
        </w:rPr>
        <w:t xml:space="preserve">, and </w:t>
      </w:r>
      <w:r>
        <w:rPr>
          <w:rFonts w:ascii="Courier New" w:hAnsi="Courier New"/>
          <w:color w:val="C0392B"/>
          <w:sz w:val="18"/>
        </w:rPr>
        <w:t>bout_lengths/*_approach_events.csv</w:t>
      </w:r>
      <w:r>
        <w:rPr>
          <w:b w:val="0"/>
          <w:i w:val="0"/>
        </w:rPr>
        <w:t xml:space="preserve">. None of these are written unless the corresponding pipeline flags were set </w:t>
      </w:r>
      <w:r>
        <w:rPr>
          <w:b/>
          <w:i w:val="0"/>
        </w:rPr>
        <w:t>before that run</w:t>
      </w:r>
      <w:r>
        <w:rPr>
          <w:b w:val="0"/>
          <w:i w:val="0"/>
        </w:rPr>
        <w:t xml:space="preserve">, and — critically — the arena/region/object tracing itself is a </w:t>
      </w:r>
      <w:r>
        <w:rPr>
          <w:b/>
          <w:i w:val="0"/>
        </w:rPr>
        <w:t>project-wide, pre-run configuration step</w:t>
      </w:r>
      <w:r>
        <w:rPr>
          <w:b w:val="0"/>
          <w:i w:val="0"/>
        </w:rPr>
        <w:t xml:space="preserve">, not something done after the fact in the Analyser. A session run without </w:t>
      </w:r>
      <w:r>
        <w:rPr>
          <w:rFonts w:ascii="Courier New" w:hAnsi="Courier New"/>
          <w:color w:val="C0392B"/>
          <w:sz w:val="18"/>
        </w:rPr>
        <w:t>env_features_enabled=True</w:t>
      </w:r>
      <w:r>
        <w:rPr>
          <w:b w:val="0"/>
          <w:i w:val="0"/>
        </w:rPr>
        <w:t xml:space="preserve"> cannot retroactively gain occupancy/region data by opening it in the Paradigm Results tab; the pipeline must be re-run.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Stage</w:t>
            </w:r>
          </w:p>
        </w:tc>
        <w:tc>
          <w:tcPr>
            <w:tcW w:type="dxa" w:w="3120"/>
            <w:shd w:fill="2E74B5" w:val="clear"/>
          </w:tcPr>
          <w:p>
            <w:pPr>
              <w:spacing w:before="40" w:after="40"/>
            </w:pPr>
            <w:r>
              <w:rPr>
                <w:b/>
                <w:i w:val="0"/>
                <w:color w:val="FFFFFF"/>
                <w:sz w:val="19"/>
              </w:rPr>
              <w:t>Action</w:t>
            </w:r>
          </w:p>
        </w:tc>
        <w:tc>
          <w:tcPr>
            <w:tcW w:type="dxa" w:w="3120"/>
            <w:shd w:fill="2E74B5" w:val="clear"/>
          </w:tcPr>
          <w:p>
            <w:pPr>
              <w:spacing w:before="40" w:after="40"/>
            </w:pPr>
            <w:r>
              <w:rPr>
                <w:b/>
                <w:i w:val="0"/>
                <w:color w:val="FFFFFF"/>
                <w:sz w:val="19"/>
              </w:rPr>
              <w:t>Governs</w:t>
            </w:r>
          </w:p>
        </w:tc>
      </w:tr>
      <w:tr>
        <w:tc>
          <w:tcPr>
            <w:tcW w:type="dxa" w:w="3120"/>
          </w:tcPr>
          <w:p>
            <w:pPr>
              <w:spacing w:before="40" w:after="40"/>
            </w:pPr>
            <w:r>
              <w:rPr>
                <w:b w:val="0"/>
                <w:i w:val="0"/>
                <w:sz w:val="19"/>
              </w:rPr>
              <w:t>1. Before Step 3 (Clustering Engine)</w:t>
            </w:r>
          </w:p>
        </w:tc>
        <w:tc>
          <w:tcPr>
            <w:tcW w:type="dxa" w:w="3120"/>
          </w:tcPr>
          <w:p>
            <w:pPr>
              <w:spacing w:before="40" w:after="40"/>
            </w:pPr>
            <w:r>
              <w:rPr>
                <w:b w:val="0"/>
                <w:i w:val="0"/>
                <w:sz w:val="19"/>
              </w:rPr>
              <w:t xml:space="preserve">Open Advanced Settings → tick </w:t>
            </w:r>
            <w:r>
              <w:rPr>
                <w:rFonts w:ascii="Courier New" w:hAnsi="Courier New"/>
                <w:color w:val="C0392B"/>
                <w:sz w:val="18"/>
              </w:rPr>
              <w:t>env_features_enabled</w:t>
            </w:r>
            <w:r>
              <w:rPr>
                <w:b w:val="0"/>
                <w:i w:val="0"/>
                <w:sz w:val="19"/>
              </w:rPr>
              <w:t xml:space="preserve"> → </w:t>
            </w:r>
            <w:r>
              <w:rPr>
                <w:b/>
                <w:i w:val="0"/>
                <w:sz w:val="19"/>
              </w:rPr>
              <w:t>Environmental Context...</w:t>
            </w:r>
            <w:r>
              <w:rPr>
                <w:b w:val="0"/>
                <w:i w:val="0"/>
                <w:sz w:val="19"/>
              </w:rPr>
              <w:t xml:space="preserve"> button → </w:t>
            </w:r>
            <w:r>
              <w:rPr>
                <w:rFonts w:ascii="Courier New" w:hAnsi="Courier New"/>
                <w:color w:val="C0392B"/>
                <w:sz w:val="18"/>
              </w:rPr>
              <w:t>EnvContextWindow</w:t>
            </w:r>
          </w:p>
        </w:tc>
        <w:tc>
          <w:tcPr>
            <w:tcW w:type="dxa" w:w="3120"/>
          </w:tcPr>
          <w:p>
            <w:pPr>
              <w:spacing w:before="40" w:after="40"/>
            </w:pPr>
            <w:r>
              <w:rPr>
                <w:b w:val="0"/>
                <w:i w:val="0"/>
                <w:sz w:val="19"/>
              </w:rPr>
              <w:t>Master switch; without this, no environmental data is ever computed, regardless of what happens later</w:t>
            </w:r>
          </w:p>
        </w:tc>
      </w:tr>
      <w:tr>
        <w:tc>
          <w:tcPr>
            <w:tcW w:type="dxa" w:w="3120"/>
            <w:shd w:fill="EEF3FA" w:val="clear"/>
          </w:tcPr>
          <w:p>
            <w:pPr>
              <w:spacing w:before="40" w:after="40"/>
            </w:pPr>
            <w:r>
              <w:rPr>
                <w:b w:val="0"/>
                <w:i w:val="0"/>
                <w:sz w:val="19"/>
              </w:rPr>
              <w:t xml:space="preserve">2. Inside </w:t>
            </w:r>
            <w:r>
              <w:rPr>
                <w:rFonts w:ascii="Courier New" w:hAnsi="Courier New"/>
                <w:color w:val="C0392B"/>
                <w:sz w:val="18"/>
              </w:rPr>
              <w:t>EnvContextWindow</w:t>
            </w:r>
            <w:r>
              <w:rPr>
                <w:b w:val="0"/>
                <w:i w:val="0"/>
                <w:sz w:val="19"/>
              </w:rPr>
              <w:t>, Tab 1</w:t>
            </w:r>
          </w:p>
        </w:tc>
        <w:tc>
          <w:tcPr>
            <w:tcW w:type="dxa" w:w="3120"/>
            <w:shd w:fill="EEF3FA" w:val="clear"/>
          </w:tcPr>
          <w:p>
            <w:pPr>
              <w:spacing w:before="40" w:after="40"/>
            </w:pPr>
            <w:r>
              <w:rPr>
                <w:b w:val="0"/>
                <w:i w:val="0"/>
                <w:sz w:val="19"/>
              </w:rPr>
              <w:t xml:space="preserve">Choose one paradigm (project-wide — see §5.1) and trace a boundary + named regions/objects with roles, on </w:t>
            </w:r>
            <w:r>
              <w:rPr>
                <w:b/>
                <w:i w:val="0"/>
                <w:sz w:val="19"/>
              </w:rPr>
              <w:t>one reference video frame</w:t>
            </w:r>
          </w:p>
        </w:tc>
        <w:tc>
          <w:tcPr>
            <w:tcW w:type="dxa" w:w="3120"/>
            <w:shd w:fill="EEF3FA" w:val="clear"/>
          </w:tcPr>
          <w:p>
            <w:pPr>
              <w:spacing w:before="40" w:after="40"/>
            </w:pPr>
            <w:r>
              <w:rPr>
                <w:rFonts w:ascii="Courier New" w:hAnsi="Courier New"/>
                <w:color w:val="C0392B"/>
                <w:sz w:val="18"/>
              </w:rPr>
              <w:t>env_arena_cfg["reference_shapes"]</w:t>
            </w:r>
            <w:r>
              <w:rPr>
                <w:b w:val="0"/>
                <w:i w:val="0"/>
                <w:sz w:val="19"/>
              </w:rPr>
              <w:t xml:space="preserve"> — the shape set every session inherits by default</w:t>
            </w:r>
          </w:p>
        </w:tc>
      </w:tr>
      <w:tr>
        <w:tc>
          <w:tcPr>
            <w:tcW w:type="dxa" w:w="3120"/>
          </w:tcPr>
          <w:p>
            <w:pPr>
              <w:spacing w:before="40" w:after="40"/>
            </w:pPr>
            <w:r>
              <w:rPr>
                <w:b w:val="0"/>
                <w:i w:val="0"/>
                <w:sz w:val="19"/>
              </w:rPr>
              <w:t xml:space="preserve">3. Inside </w:t>
            </w:r>
            <w:r>
              <w:rPr>
                <w:rFonts w:ascii="Courier New" w:hAnsi="Courier New"/>
                <w:color w:val="C0392B"/>
                <w:sz w:val="18"/>
              </w:rPr>
              <w:t>EnvContextWindow</w:t>
            </w:r>
            <w:r>
              <w:rPr>
                <w:b w:val="0"/>
                <w:i w:val="0"/>
                <w:sz w:val="19"/>
              </w:rPr>
              <w:t>, Tab 2 (optional)</w:t>
            </w:r>
          </w:p>
        </w:tc>
        <w:tc>
          <w:tcPr>
            <w:tcW w:type="dxa" w:w="3120"/>
          </w:tcPr>
          <w:p>
            <w:pPr>
              <w:spacing w:before="40" w:after="40"/>
            </w:pPr>
            <w:r>
              <w:rPr>
                <w:b w:val="0"/>
                <w:i w:val="0"/>
                <w:sz w:val="19"/>
              </w:rPr>
              <w:t>Per-video translate or independent override, if the arena moved or was repositioned between recordings</w:t>
            </w:r>
          </w:p>
        </w:tc>
        <w:tc>
          <w:tcPr>
            <w:tcW w:type="dxa" w:w="3120"/>
          </w:tcPr>
          <w:p>
            <w:pPr>
              <w:spacing w:before="40" w:after="40"/>
            </w:pPr>
            <w:r>
              <w:rPr>
                <w:rFonts w:ascii="Courier New" w:hAnsi="Courier New"/>
                <w:color w:val="C0392B"/>
                <w:sz w:val="18"/>
              </w:rPr>
              <w:t>env_arena_cfg["per_video"]</w:t>
            </w:r>
            <w:r>
              <w:rPr>
                <w:b w:val="0"/>
                <w:i w:val="0"/>
                <w:sz w:val="19"/>
              </w:rPr>
              <w:t xml:space="preserve"> — per-session correction on top of the reference shapes</w:t>
            </w:r>
          </w:p>
        </w:tc>
      </w:tr>
      <w:tr>
        <w:tc>
          <w:tcPr>
            <w:tcW w:type="dxa" w:w="3120"/>
            <w:shd w:fill="EEF3FA" w:val="clear"/>
          </w:tcPr>
          <w:p>
            <w:pPr>
              <w:spacing w:before="40" w:after="40"/>
            </w:pPr>
            <w:r>
              <w:rPr>
                <w:b w:val="0"/>
                <w:i w:val="0"/>
                <w:sz w:val="19"/>
              </w:rPr>
              <w:t>4. Optional, same Advanced Settings section</w:t>
            </w:r>
          </w:p>
        </w:tc>
        <w:tc>
          <w:tcPr>
            <w:tcW w:type="dxa" w:w="3120"/>
            <w:shd w:fill="EEF3FA" w:val="clear"/>
          </w:tcPr>
          <w:p>
            <w:pPr>
              <w:spacing w:before="40" w:after="40"/>
            </w:pPr>
            <w:r>
              <w:rPr>
                <w:b w:val="0"/>
                <w:i w:val="0"/>
                <w:sz w:val="19"/>
              </w:rPr>
              <w:t xml:space="preserve">Tick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 xml:space="preserve">Required for: total-distance-traveled (Open Field control bar), and </w:t>
            </w:r>
            <w:r>
              <w:rPr>
                <w:b w:val="0"/>
                <w:i/>
                <w:sz w:val="19"/>
              </w:rPr>
              <w:t>entirely</w:t>
            </w:r>
            <w:r>
              <w:rPr>
                <w:b w:val="0"/>
                <w:i w:val="0"/>
                <w:sz w:val="19"/>
              </w:rPr>
              <w:t xml:space="preserve"> required for Approach/Avoid Events (needs </w:t>
            </w:r>
            <w:r>
              <w:rPr>
                <w:rFonts w:ascii="Courier New" w:hAnsi="Courier New"/>
                <w:color w:val="C0392B"/>
                <w:sz w:val="18"/>
              </w:rPr>
              <w:t>straightness_ratio</w:t>
            </w:r>
            <w:r>
              <w:rPr>
                <w:b w:val="0"/>
                <w:i w:val="0"/>
                <w:sz w:val="19"/>
              </w:rPr>
              <w:t>/</w:t>
            </w:r>
            <w:r>
              <w:rPr>
                <w:rFonts w:ascii="Courier New" w:hAnsi="Courier New"/>
                <w:color w:val="C0392B"/>
                <w:sz w:val="18"/>
              </w:rPr>
              <w:t>mean_speed_px_s</w:t>
            </w:r>
            <w:r>
              <w:rPr>
                <w:b w:val="0"/>
                <w:i w:val="0"/>
                <w:sz w:val="19"/>
              </w:rPr>
              <w:t xml:space="preserve"> per bout)</w:t>
            </w:r>
          </w:p>
        </w:tc>
      </w:tr>
      <w:tr>
        <w:tc>
          <w:tcPr>
            <w:tcW w:type="dxa" w:w="3120"/>
          </w:tcPr>
          <w:p>
            <w:pPr>
              <w:spacing w:before="40" w:after="40"/>
            </w:pPr>
            <w:r>
              <w:rPr>
                <w:b w:val="0"/>
                <w:i w:val="0"/>
                <w:sz w:val="19"/>
              </w:rPr>
              <w:t>5. Run the pipeline (Step 3)</w:t>
            </w:r>
          </w:p>
        </w:tc>
        <w:tc>
          <w:tcPr>
            <w:tcW w:type="dxa" w:w="3120"/>
          </w:tcPr>
          <w:p>
            <w:pPr>
              <w:spacing w:before="40" w:after="40"/>
            </w:pPr>
            <w:r>
              <w:rPr>
                <w:rFonts w:ascii="Courier New" w:hAnsi="Courier New"/>
                <w:color w:val="C0392B"/>
                <w:sz w:val="18"/>
              </w:rPr>
              <w:t>BSoidEngine.run()</w:t>
            </w:r>
          </w:p>
        </w:tc>
        <w:tc>
          <w:tcPr>
            <w:tcW w:type="dxa" w:w="3120"/>
          </w:tcPr>
          <w:p>
            <w:pPr>
              <w:spacing w:before="40" w:after="40"/>
            </w:pPr>
            <w:r>
              <w:rPr>
                <w:b w:val="0"/>
                <w:i w:val="0"/>
                <w:sz w:val="19"/>
              </w:rPr>
              <w:t xml:space="preserve">Writes </w:t>
            </w:r>
            <w:r>
              <w:rPr>
                <w:rFonts w:ascii="Courier New" w:hAnsi="Courier New"/>
                <w:color w:val="C0392B"/>
                <w:sz w:val="18"/>
              </w:rPr>
              <w:t>session_env_context.json</w:t>
            </w:r>
            <w:r>
              <w:rPr>
                <w:b w:val="0"/>
                <w:i w:val="0"/>
                <w:sz w:val="19"/>
              </w:rPr>
              <w:t xml:space="preserve">, the enriched bout sidecar, and (if both flags 4a/4b are on and events are detected) </w:t>
            </w:r>
            <w:r>
              <w:rPr>
                <w:rFonts w:ascii="Courier New" w:hAnsi="Courier New"/>
                <w:color w:val="C0392B"/>
                <w:sz w:val="18"/>
              </w:rPr>
              <w:t>approach_events.csv</w:t>
            </w:r>
          </w:p>
        </w:tc>
      </w:tr>
      <w:tr>
        <w:tc>
          <w:tcPr>
            <w:tcW w:type="dxa" w:w="3120"/>
            <w:shd w:fill="EEF3FA" w:val="clear"/>
          </w:tcPr>
          <w:p>
            <w:pPr>
              <w:spacing w:before="40" w:after="40"/>
            </w:pPr>
            <w:r>
              <w:rPr>
                <w:b w:val="0"/>
                <w:i w:val="0"/>
                <w:sz w:val="19"/>
              </w:rPr>
              <w:t>6. Analyser, Combined Analysis tab</w:t>
            </w:r>
          </w:p>
        </w:tc>
        <w:tc>
          <w:tcPr>
            <w:tcW w:type="dxa" w:w="3120"/>
            <w:shd w:fill="EEF3FA" w:val="clear"/>
          </w:tcPr>
          <w:p>
            <w:pPr>
              <w:spacing w:before="40" w:after="40"/>
            </w:pPr>
            <w:r>
              <w:rPr>
                <w:b w:val="0"/>
                <w:i w:val="0"/>
                <w:sz w:val="19"/>
              </w:rPr>
              <w:t xml:space="preserve">Load the resulting </w:t>
            </w:r>
            <w:r>
              <w:rPr>
                <w:rFonts w:ascii="Courier New" w:hAnsi="Courier New"/>
                <w:color w:val="C0392B"/>
                <w:sz w:val="18"/>
              </w:rPr>
              <w:t>*_bout_lengths_hmm.csv</w:t>
            </w:r>
            <w:r>
              <w:rPr>
                <w:b w:val="0"/>
                <w:i w:val="0"/>
                <w:sz w:val="19"/>
              </w:rPr>
              <w:t xml:space="preserve"> files as usual</w:t>
            </w:r>
          </w:p>
        </w:tc>
        <w:tc>
          <w:tcPr>
            <w:tcW w:type="dxa" w:w="3120"/>
            <w:shd w:fill="EEF3FA" w:val="clear"/>
          </w:tcPr>
          <w:p>
            <w:pPr>
              <w:spacing w:before="40" w:after="40"/>
            </w:pPr>
            <w:r>
              <w:rPr>
                <w:b w:val="0"/>
                <w:i w:val="0"/>
                <w:sz w:val="19"/>
              </w:rPr>
              <w:t xml:space="preserve">Populates </w:t>
            </w:r>
            <w:r>
              <w:rPr>
                <w:rFonts w:ascii="Courier New" w:hAnsi="Courier New"/>
                <w:color w:val="C0392B"/>
                <w:sz w:val="18"/>
              </w:rPr>
              <w:t>get_animals_fn</w:t>
            </w:r>
            <w:r>
              <w:rPr>
                <w:b w:val="0"/>
                <w:i w:val="0"/>
                <w:sz w:val="19"/>
              </w:rPr>
              <w:t xml:space="preserve"> — the Paradigm Results tab locates its sibling files from each animal's bout-CSV path</w:t>
            </w:r>
          </w:p>
        </w:tc>
      </w:tr>
      <w:tr>
        <w:tc>
          <w:tcPr>
            <w:tcW w:type="dxa" w:w="3120"/>
          </w:tcPr>
          <w:p>
            <w:pPr>
              <w:spacing w:before="40" w:after="40"/>
            </w:pPr>
            <w:r>
              <w:rPr>
                <w:b w:val="0"/>
                <w:i w:val="0"/>
                <w:sz w:val="19"/>
              </w:rPr>
              <w:t>7. Analyser, Paradigm Results tab</w:t>
            </w:r>
          </w:p>
        </w:tc>
        <w:tc>
          <w:tcPr>
            <w:tcW w:type="dxa" w:w="3120"/>
          </w:tcPr>
          <w:p>
            <w:pPr>
              <w:spacing w:before="40" w:after="40"/>
            </w:pPr>
            <w:r>
              <w:rPr>
                <w:b w:val="0"/>
                <w:i w:val="0"/>
                <w:sz w:val="19"/>
              </w:rPr>
              <w:t xml:space="preserve">Click </w:t>
            </w:r>
            <w:r>
              <w:rPr>
                <w:b/>
                <w:i w:val="0"/>
                <w:sz w:val="19"/>
              </w:rPr>
              <w:t>Refresh from Loaded Sessions</w:t>
            </w:r>
          </w:p>
        </w:tc>
        <w:tc>
          <w:tcPr>
            <w:tcW w:type="dxa" w:w="3120"/>
          </w:tcPr>
          <w:p>
            <w:pPr>
              <w:spacing w:before="40" w:after="40"/>
            </w:pPr>
            <w:r>
              <w:rPr>
                <w:b w:val="0"/>
                <w:i w:val="0"/>
                <w:sz w:val="19"/>
              </w:rPr>
              <w:t>Loads and renders</w:t>
            </w:r>
          </w:p>
        </w:tc>
      </w:tr>
    </w:tbl>
    <w:p/>
    <w:p>
      <w:pPr>
        <w:spacing w:after="120"/>
      </w:pPr>
      <w:r>
        <w:rPr>
          <w:b w:val="0"/>
          <w:i w:val="0"/>
        </w:rPr>
        <w:t>A session loaded without step 1 (or from a pre-v6 run) shows "no environmental context data for any loaded session" for every sub-view — this is the documented, tested graceful-degradation path, not an error.</w:t>
      </w:r>
    </w:p>
    <w:p>
      <w:pPr>
        <w:spacing w:before="80" w:after="80"/>
        <w:pBdr>
          <w:bottom w:val="single" w:sz="6" w:space="1" w:color="CCCCCC"/>
        </w:pBdr>
      </w:pPr>
    </w:p>
    <w:p>
      <w:pPr>
        <w:pStyle w:val="Heading2"/>
        <w:spacing w:before="200" w:after="80"/>
      </w:pPr>
      <w:r>
        <w:rPr>
          <w:b/>
          <w:color w:val="2E74B5"/>
          <w:sz w:val="28"/>
        </w:rPr>
        <w:t>2. Shared components (every sub-view uses these)</w:t>
      </w:r>
    </w:p>
    <w:p>
      <w:pPr>
        <w:pStyle w:val="Heading3"/>
        <w:spacing w:before="160" w:after="80"/>
      </w:pPr>
      <w:r>
        <w:rPr>
          <w:b/>
          <w:color w:val="1F497D"/>
          <w:sz w:val="24"/>
        </w:rPr>
        <w:t>2.1 Occupancy heatmap</w:t>
      </w:r>
    </w:p>
    <w:p>
      <w:pPr>
        <w:spacing w:after="120"/>
      </w:pPr>
      <w:r>
        <w:rPr>
          <w:b w:val="0"/>
          <w:i w:val="0"/>
        </w:rPr>
        <w:t>A 2D histogram (</w:t>
      </w:r>
      <w:r>
        <w:rPr>
          <w:rFonts w:ascii="Courier New" w:hAnsi="Courier New"/>
          <w:color w:val="C0392B"/>
          <w:sz w:val="18"/>
        </w:rPr>
        <w:t>numpy.histogram2d</w:t>
      </w:r>
      <w:r>
        <w:rPr>
          <w:b w:val="0"/>
          <w:i w:val="0"/>
        </w:rPr>
        <w:t xml:space="preserve">, 40×40 bins by default, </w:t>
      </w:r>
      <w:r>
        <w:rPr>
          <w:rFonts w:ascii="Courier New" w:hAnsi="Courier New"/>
          <w:color w:val="C0392B"/>
          <w:sz w:val="18"/>
        </w:rPr>
        <w:t>viridis</w:t>
      </w:r>
      <w:r>
        <w:rPr>
          <w:b w:val="0"/>
          <w:i w:val="0"/>
        </w:rPr>
        <w:t xml:space="preserve"> colormap) of the animal's centroid position (mean of all tracked bodypart x/y coordinates), pooled across every currently-loaded session that has environmental data. This is the position/spatial figure for every sub-view.</w:t>
      </w:r>
    </w:p>
    <w:p>
      <w:pPr>
        <w:spacing w:after="120"/>
      </w:pPr>
      <w:r>
        <w:rPr>
          <w:b/>
          <w:i w:val="0"/>
        </w:rPr>
        <w:t>Region/object outlines drawn on top are an approximation, not the traced shape.</w:t>
      </w:r>
      <w:r>
        <w:rPr>
          <w:b w:val="0"/>
          <w:i w:val="0"/>
        </w:rPr>
        <w:t xml:space="preserve"> </w:t>
      </w:r>
      <w:r>
        <w:rPr>
          <w:rFonts w:ascii="Courier New" w:hAnsi="Courier New"/>
          <w:color w:val="C0392B"/>
          <w:sz w:val="18"/>
        </w:rPr>
        <w:t>env_arena_cfg</w:t>
      </w:r>
      <w:r>
        <w:rPr>
          <w:b w:val="0"/>
          <w:i w:val="0"/>
        </w:rPr>
        <w:t xml:space="preserve">'s traced polygon vertices are never written to any per-run output file — they exist only in </w:t>
      </w:r>
      <w:r>
        <w:rPr>
          <w:rFonts w:ascii="Courier New" w:hAnsi="Courier New"/>
          <w:color w:val="C0392B"/>
          <w:sz w:val="18"/>
        </w:rPr>
        <w:t>cube.py</w:t>
      </w:r>
      <w:r>
        <w:rPr>
          <w:b w:val="0"/>
          <w:i w:val="0"/>
        </w:rPr>
        <w:t xml:space="preserve">'s session-local GUI state — so </w:t>
      </w:r>
      <w:r>
        <w:rPr>
          <w:rFonts w:ascii="Courier New" w:hAnsi="Courier New"/>
          <w:color w:val="C0392B"/>
          <w:sz w:val="18"/>
        </w:rPr>
        <w:t>cube_analyser.py</w:t>
      </w:r>
      <w:r>
        <w:rPr>
          <w:b w:val="0"/>
          <w:i w:val="0"/>
        </w:rPr>
        <w:t xml:space="preserve"> has no way to draw the literal traced boundary. The outline shown is instead the </w:t>
      </w:r>
      <w:r>
        <w:rPr>
          <w:b/>
          <w:i w:val="0"/>
        </w:rPr>
        <w:t>convex hull of the centroid positions actually recorded as belonging to that region</w:t>
      </w:r>
      <w:r>
        <w:rPr>
          <w:b w:val="0"/>
          <w:i w:val="0"/>
        </w:rPr>
        <w:t xml:space="preserve"> (via </w:t>
      </w:r>
      <w:r>
        <w:rPr>
          <w:rFonts w:ascii="Courier New" w:hAnsi="Courier New"/>
          <w:color w:val="C0392B"/>
          <w:sz w:val="18"/>
        </w:rPr>
        <w:t>current_region</w:t>
      </w:r>
      <w:r>
        <w:rPr>
          <w:b w:val="0"/>
          <w:i w:val="0"/>
        </w:rPr>
        <w:t xml:space="preserve">) or </w:t>
      </w:r>
      <w:r>
        <w:rPr>
          <w:b/>
          <w:i w:val="0"/>
        </w:rPr>
        <w:t>as interacting with that object</w:t>
      </w:r>
      <w:r>
        <w:rPr>
          <w:b w:val="0"/>
          <w:i w:val="0"/>
        </w:rPr>
        <w:t xml:space="preserve"> (nose/paw within </w:t>
      </w:r>
      <w:r>
        <w:rPr>
          <w:rFonts w:ascii="Courier New" w:hAnsi="Courier New"/>
          <w:color w:val="C0392B"/>
          <w:sz w:val="18"/>
        </w:rPr>
        <w:t>interaction_threshold_px</w:t>
      </w:r>
      <w:r>
        <w:rPr>
          <w:b w:val="0"/>
          <w:i w:val="0"/>
        </w:rPr>
        <w:t xml:space="preserve">). This is a real, disclosed limitation: a convex hull is by definition a superset of an irregular or concave true shape (e.g. an L-shaped chamber, or a Y-maze's non-convex arm junction), and depends on the animal having actually visited enough of the true boundary to approximate its extent. Labeled </w:t>
      </w:r>
      <w:r>
        <w:rPr>
          <w:rFonts w:ascii="Courier New" w:hAnsi="Courier New"/>
          <w:color w:val="C0392B"/>
          <w:sz w:val="18"/>
        </w:rPr>
        <w:t>"(approx.)"</w:t>
      </w:r>
      <w:r>
        <w:rPr>
          <w:b w:val="0"/>
          <w:i w:val="0"/>
        </w:rPr>
        <w:t xml:space="preserve"> in every plot title/annotation. </w:t>
      </w:r>
      <w:r>
        <w:rPr>
          <w:b/>
          <w:i w:val="0"/>
        </w:rPr>
        <w:t>Do not use the drawn outline itself as a precise spatial reference</w:t>
      </w:r>
      <w:r>
        <w:rPr>
          <w:b w:val="0"/>
          <w:i w:val="0"/>
        </w:rPr>
        <w:t xml:space="preserve"> — use it only as a rough visual anchor for where a region sits relative to the density map.</w:t>
      </w:r>
    </w:p>
    <w:p>
      <w:pPr>
        <w:pStyle w:val="Heading3"/>
        <w:spacing w:before="160" w:after="80"/>
      </w:pPr>
      <w:r>
        <w:rPr>
          <w:b/>
          <w:color w:val="1F497D"/>
          <w:sz w:val="24"/>
        </w:rPr>
        <w:t>2.2 Arena/region cluster-and-group cross-tab</w:t>
      </w:r>
    </w:p>
    <w:p>
      <w:pPr>
        <w:spacing w:after="120"/>
      </w:pPr>
      <w:r>
        <w:rPr>
          <w:b w:val="0"/>
          <w:i w:val="0"/>
        </w:rPr>
        <w:t xml:space="preserve">Two grouped bar charts, built once and shown on every sub-view: </w:t>
      </w:r>
      <w:r>
        <w:rPr>
          <w:b/>
          <w:i w:val="0"/>
        </w:rPr>
        <w:t>cluster-by-region</w:t>
      </w:r>
      <w:r>
        <w:rPr>
          <w:b w:val="0"/>
          <w:i w:val="0"/>
        </w:rPr>
        <w:t xml:space="preserve"> (% of time each HDBSCAN/MLP/HMM behavioral cluster spends in each named region, weighted by bout duration) and </w:t>
      </w:r>
      <w:r>
        <w:rPr>
          <w:b/>
          <w:i w:val="0"/>
        </w:rPr>
        <w:t>group-by-region</w:t>
      </w:r>
      <w:r>
        <w:rPr>
          <w:b w:val="0"/>
          <w:i w:val="0"/>
        </w:rPr>
        <w:t xml:space="preserve"> (the same, split by experimental group instead of cluster). This answers "where in the arena does behavior X happen" and "does the treatment group occupy different regions" directly, without requiring the user to manually cross-reference the per-cluster and per-region summary numbers. Both are derived from the enriched bout sidecar's </w:t>
      </w:r>
      <w:r>
        <w:rPr>
          <w:rFonts w:ascii="Courier New" w:hAnsi="Courier New"/>
          <w:color w:val="C0392B"/>
          <w:sz w:val="18"/>
        </w:rPr>
        <w:t>pct_time_in_region_&lt;name&gt;</w:t>
      </w:r>
      <w:r>
        <w:rPr>
          <w:b w:val="0"/>
          <w:i w:val="0"/>
        </w:rPr>
        <w:t xml:space="preserve"> columns (Environmental Context Step 6), not recomputed from raw position — so their accuracy is bounded by that column's own accuracy, not an independent measurement.</w:t>
      </w:r>
    </w:p>
    <w:p>
      <w:pPr>
        <w:pStyle w:val="Heading3"/>
        <w:spacing w:before="160" w:after="80"/>
      </w:pPr>
      <w:r>
        <w:rPr>
          <w:b/>
          <w:color w:val="1F497D"/>
          <w:sz w:val="24"/>
        </w:rPr>
        <w:t>2.3 Time-course, ethogram, distribution, and paired plots</w:t>
      </w:r>
    </w:p>
    <w:p>
      <w:pPr>
        <w:spacing w:after="120"/>
      </w:pPr>
      <w:r>
        <w:rPr>
          <w:b w:val="0"/>
          <w:i w:val="0"/>
        </w:rPr>
        <w:t xml:space="preserve">A second wave of shared components (added after the initial seven-sub-view build), all built from data already present in </w:t>
      </w:r>
      <w:r>
        <w:rPr>
          <w:rFonts w:ascii="Courier New" w:hAnsi="Courier New"/>
          <w:color w:val="C0392B"/>
          <w:sz w:val="18"/>
        </w:rPr>
        <w:t>session_env_context.json</w:t>
      </w:r>
      <w:r>
        <w:rPr>
          <w:b w:val="0"/>
          <w:i w:val="0"/>
        </w:rPr>
        <w:t xml:space="preserve"> — no pipeline/schema change was needed for most of them, since </w:t>
      </w:r>
      <w:r>
        <w:rPr>
          <w:rFonts w:ascii="Courier New" w:hAnsi="Courier New"/>
          <w:color w:val="C0392B"/>
          <w:sz w:val="18"/>
        </w:rPr>
        <w:t>compute_session_env_context()</w:t>
      </w:r>
      <w:r>
        <w:rPr>
          <w:b w:val="0"/>
          <w:i w:val="0"/>
        </w:rPr>
        <w:t xml:space="preserve"> already tracked nose-point distance and per-bin centroid position. Four new </w:t>
      </w:r>
      <w:r>
        <w:rPr>
          <w:rFonts w:ascii="Courier New" w:hAnsi="Courier New"/>
          <w:color w:val="C0392B"/>
          <w:sz w:val="18"/>
        </w:rPr>
        <w:t>region_roles</w:t>
      </w:r>
      <w:r>
        <w:rPr>
          <w:b w:val="0"/>
          <w:i w:val="0"/>
        </w:rPr>
        <w:t>/</w:t>
      </w:r>
      <w:r>
        <w:rPr>
          <w:rFonts w:ascii="Courier New" w:hAnsi="Courier New"/>
          <w:color w:val="C0392B"/>
          <w:sz w:val="18"/>
        </w:rPr>
        <w:t>object_roles</w:t>
      </w:r>
      <w:r>
        <w:rPr>
          <w:b w:val="0"/>
          <w:i w:val="0"/>
        </w:rPr>
        <w:t>/</w:t>
      </w:r>
      <w:r>
        <w:rPr>
          <w:rFonts w:ascii="Courier New" w:hAnsi="Courier New"/>
          <w:color w:val="C0392B"/>
          <w:sz w:val="18"/>
        </w:rPr>
        <w:t>dist_to_region_boundary_nose</w:t>
      </w:r>
      <w:r>
        <w:rPr>
          <w:b w:val="0"/>
          <w:i w:val="0"/>
        </w:rPr>
        <w:t>/</w:t>
      </w:r>
      <w:r>
        <w:rPr>
          <w:rFonts w:ascii="Courier New" w:hAnsi="Courier New"/>
          <w:color w:val="C0392B"/>
          <w:sz w:val="18"/>
        </w:rPr>
        <w:t>nose_outside_boundary</w:t>
      </w:r>
      <w:r>
        <w:rPr>
          <w:b w:val="0"/>
          <w:i w:val="0"/>
        </w:rPr>
        <w:t>/</w:t>
      </w:r>
      <w:r>
        <w:rPr>
          <w:rFonts w:ascii="Courier New" w:hAnsi="Courier New"/>
          <w:color w:val="C0392B"/>
          <w:sz w:val="18"/>
        </w:rPr>
        <w:t>object_interaction_ bout_lengths_sec</w:t>
      </w:r>
      <w:r>
        <w:rPr>
          <w:b w:val="0"/>
          <w:i w:val="0"/>
        </w:rPr>
        <w:t xml:space="preserve"> keys were added additively (existing keys unchanged) to unlock the rest — see </w:t>
      </w:r>
      <w:r>
        <w:rPr>
          <w:rFonts w:ascii="Courier New" w:hAnsi="Courier New"/>
          <w:color w:val="C0392B"/>
          <w:sz w:val="18"/>
        </w:rPr>
        <w:t>Environmental_Context_v6_Implementation_Report.md</w:t>
      </w:r>
      <w:r>
        <w:rPr>
          <w:b w:val="0"/>
          <w:i w:val="0"/>
        </w:rPr>
        <w:t>'s addendum for the exact schema.</w:t>
      </w:r>
    </w:p>
    <w:p>
      <w:pPr>
        <w:pStyle w:val="ListBullet"/>
      </w:pPr>
      <w:r>
        <w:rPr>
          <w:b/>
          <w:i w:val="0"/>
          <w:sz w:val="21"/>
        </w:rPr>
        <w:t>Time-course plots</w:t>
      </w:r>
      <w:r>
        <w:rPr>
          <w:b w:val="0"/>
          <w:i w:val="0"/>
          <w:sz w:val="21"/>
        </w:rPr>
        <w:t xml:space="preserve"> (</w:t>
      </w:r>
      <w:r>
        <w:rPr>
          <w:rFonts w:ascii="Courier New" w:hAnsi="Courier New"/>
          <w:color w:val="C0392B"/>
          <w:sz w:val="18"/>
        </w:rPr>
        <w:t>build_timecourse_figure</w:t>
      </w:r>
      <w:r>
        <w:rPr>
          <w:b w:val="0"/>
          <w:i w:val="0"/>
          <w:sz w:val="21"/>
        </w:rPr>
        <w:t>): mean ± SEM line per experimental group, x-axis = % of</w:t>
      </w:r>
    </w:p>
    <w:p>
      <w:pPr>
        <w:spacing w:after="120"/>
      </w:pPr>
      <w:r>
        <w:rPr>
          <w:b w:val="0"/>
          <w:i w:val="0"/>
        </w:rPr>
        <w:t>trial elapsed (not absolute time, so sessions of different duration still align on one shared axis). Used for: Open Field center-zone %, EPM open-arm %, Discrimination Index / Sociability investigation distance to the role-tagged object, and CPP cumulative chamber crossings.</w:t>
      </w:r>
    </w:p>
    <w:p>
      <w:pPr>
        <w:pStyle w:val="ListBullet"/>
      </w:pPr>
      <w:r>
        <w:rPr>
          <w:b/>
          <w:i w:val="0"/>
          <w:sz w:val="21"/>
        </w:rPr>
        <w:t>Region ethogram strip</w:t>
      </w:r>
      <w:r>
        <w:rPr>
          <w:b w:val="0"/>
          <w:i w:val="0"/>
          <w:sz w:val="21"/>
        </w:rPr>
        <w:t xml:space="preserve"> (</w:t>
      </w:r>
      <w:r>
        <w:rPr>
          <w:rFonts w:ascii="Courier New" w:hAnsi="Courier New"/>
          <w:color w:val="C0392B"/>
          <w:sz w:val="18"/>
        </w:rPr>
        <w:t>build_region_ethogram_figure</w:t>
      </w:r>
      <w:r>
        <w:rPr>
          <w:b w:val="0"/>
          <w:i w:val="0"/>
          <w:sz w:val="21"/>
        </w:rPr>
        <w:t>): one horizontal row per session, colored by</w:t>
      </w:r>
    </w:p>
    <w:p>
      <w:pPr>
        <w:spacing w:after="120"/>
      </w:pPr>
      <w:r>
        <w:rPr>
          <w:b w:val="0"/>
          <w:i w:val="0"/>
        </w:rPr>
        <w:t>which region the animal occupied over time — the Y-Maze arm-entry sequence view, mirroring the existing behavior-ethogram's broken-barh visual language.</w:t>
      </w:r>
    </w:p>
    <w:p>
      <w:pPr>
        <w:pStyle w:val="ListBullet"/>
      </w:pPr>
      <w:r>
        <w:rPr>
          <w:b/>
          <w:i w:val="0"/>
          <w:sz w:val="21"/>
        </w:rPr>
        <w:t>Bout-duration distribution</w:t>
      </w:r>
      <w:r>
        <w:rPr>
          <w:b w:val="0"/>
          <w:i w:val="0"/>
          <w:sz w:val="21"/>
        </w:rPr>
        <w:t xml:space="preserve"> (</w:t>
      </w:r>
      <w:r>
        <w:rPr>
          <w:rFonts w:ascii="Courier New" w:hAnsi="Courier New"/>
          <w:color w:val="C0392B"/>
          <w:sz w:val="18"/>
        </w:rPr>
        <w:t>build_distribution_figure</w:t>
      </w:r>
      <w:r>
        <w:rPr>
          <w:b w:val="0"/>
          <w:i w:val="0"/>
          <w:sz w:val="21"/>
        </w:rPr>
        <w:t>): overlapping per-group histograms + a rug of</w:t>
      </w:r>
    </w:p>
    <w:p>
      <w:pPr>
        <w:spacing w:after="120"/>
      </w:pPr>
      <w:r>
        <w:rPr>
          <w:b w:val="0"/>
          <w:i w:val="0"/>
        </w:rPr>
        <w:t>individual bout durations underneath — each point is one investigation bout, not one animal. Used for Discrimination Index and Sociability's object-interaction bouts, and Open Field's per-animal mean-speed distribution.</w:t>
      </w:r>
    </w:p>
    <w:p>
      <w:pPr>
        <w:pStyle w:val="ListBullet"/>
      </w:pPr>
      <w:r>
        <w:rPr>
          <w:b/>
          <w:i w:val="0"/>
          <w:sz w:val="21"/>
        </w:rPr>
        <w:t>Paired pre/post dumbbell</w:t>
      </w:r>
      <w:r>
        <w:rPr>
          <w:b w:val="0"/>
          <w:i w:val="0"/>
          <w:sz w:val="21"/>
        </w:rPr>
        <w:t xml:space="preserve"> (</w:t>
      </w:r>
      <w:r>
        <w:rPr>
          <w:rFonts w:ascii="Courier New" w:hAnsi="Courier New"/>
          <w:color w:val="C0392B"/>
          <w:sz w:val="18"/>
        </w:rPr>
        <w:t>build_paired_dumbbell_figure</w:t>
      </w:r>
      <w:r>
        <w:rPr>
          <w:b w:val="0"/>
          <w:i w:val="0"/>
          <w:sz w:val="21"/>
        </w:rPr>
        <w:t>): one connecting line per matched subject</w:t>
      </w:r>
    </w:p>
    <w:p>
      <w:pPr>
        <w:spacing w:after="120"/>
      </w:pPr>
      <w:r>
        <w:rPr>
          <w:b w:val="0"/>
          <w:i w:val="0"/>
        </w:rPr>
        <w:t>(Repeated Measures design only) — CPP's pre → post preference-index shift, the standard CPP figure showing individual-animal change rather than only a summary delta.</w:t>
      </w:r>
    </w:p>
    <w:p>
      <w:pPr>
        <w:pStyle w:val="ListBullet"/>
      </w:pPr>
      <w:r>
        <w:rPr>
          <w:b w:val="0"/>
          <w:i w:val="0"/>
          <w:sz w:val="21"/>
        </w:rPr>
        <w:t>All bar charts in this tab (</w:t>
      </w:r>
      <w:r>
        <w:rPr>
          <w:rFonts w:ascii="Courier New" w:hAnsi="Courier New"/>
          <w:color w:val="C0392B"/>
          <w:sz w:val="18"/>
        </w:rPr>
        <w:t>_index_bar_fig</w:t>
      </w:r>
      <w:r>
        <w:rPr>
          <w:b w:val="0"/>
          <w:i w:val="0"/>
          <w:sz w:val="21"/>
        </w:rPr>
        <w:t xml:space="preserve"> and the region/group cross-tab) additionally overlay each</w:t>
      </w:r>
    </w:p>
    <w:p>
      <w:pPr>
        <w:spacing w:after="120"/>
      </w:pPr>
      <w:r>
        <w:rPr>
          <w:b w:val="0"/>
          <w:i w:val="0"/>
        </w:rPr>
        <w:t>individual animal's own value as an unfilled ring on top of its group's bar — not just the mean ± SEM.</w:t>
      </w:r>
    </w:p>
    <w:p>
      <w:pPr>
        <w:pStyle w:val="Heading3"/>
        <w:spacing w:before="160" w:after="80"/>
      </w:pPr>
      <w:r>
        <w:rPr>
          <w:b/>
          <w:color w:val="1F497D"/>
          <w:sz w:val="24"/>
        </w:rPr>
        <w:t>2.4 Statistical conventions</w:t>
      </w:r>
    </w:p>
    <w:p>
      <w:pPr>
        <w:pStyle w:val="ListBullet"/>
      </w:pPr>
      <w:r>
        <w:rPr>
          <w:b/>
          <w:i w:val="0"/>
          <w:sz w:val="21"/>
        </w:rPr>
        <w:t>Between-group comparisons</w:t>
      </w:r>
      <w:r>
        <w:rPr>
          <w:b w:val="0"/>
          <w:i w:val="0"/>
          <w:sz w:val="21"/>
        </w:rPr>
        <w:t xml:space="preserve"> (does the metric differ across experimental groups) reuse</w:t>
      </w:r>
    </w:p>
    <w:p>
      <w:pPr>
        <w:spacing w:after="120"/>
      </w:pPr>
      <w:r>
        <w:rPr>
          <w:rFonts w:ascii="Courier New" w:hAnsi="Courier New"/>
          <w:color w:val="C0392B"/>
          <w:sz w:val="18"/>
        </w:rPr>
        <w:t>run_cluster_statistics()</w:t>
      </w:r>
      <w:r>
        <w:rPr>
          <w:b w:val="0"/>
          <w:i w:val="0"/>
        </w:rPr>
        <w:t xml:space="preserve"> — Kruskal-Wallis omnibus + Dunn's/Mann-Whitney post-hoc for ≥3 groups, both Benjamini-Hochberg FDR-corrected — the identical machinery Unbiased Analytics uses for cluster metrics, adapted to a paradigm-level scalar index (alternation %, discrimination index, etc.) via a single-row wrapper (</w:t>
      </w:r>
      <w:r>
        <w:rPr>
          <w:rFonts w:ascii="Courier New" w:hAnsi="Courier New"/>
          <w:color w:val="C0392B"/>
          <w:sz w:val="18"/>
        </w:rPr>
        <w:t>_scalar_metric_compute_fn</w:t>
      </w:r>
      <w:r>
        <w:rPr>
          <w:b w:val="0"/>
          <w:i w:val="0"/>
        </w:rPr>
        <w:t xml:space="preserve">) rather than a parallel implementation. Shown as pink/red brackets with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significance stars.</w:t>
      </w:r>
    </w:p>
    <w:p>
      <w:pPr>
        <w:pStyle w:val="ListBullet"/>
      </w:pPr>
      <w:r>
        <w:rPr>
          <w:b/>
          <w:i w:val="0"/>
          <w:sz w:val="21"/>
        </w:rPr>
        <w:t>One-sample-vs-reference tests</w:t>
      </w:r>
      <w:r>
        <w:rPr>
          <w:b w:val="0"/>
          <w:i w:val="0"/>
          <w:sz w:val="21"/>
        </w:rPr>
        <w:t xml:space="preserve"> (does this group's index differ from a fixed expectation — chance level</w:t>
      </w:r>
    </w:p>
    <w:p>
      <w:pPr>
        <w:spacing w:after="120"/>
      </w:pPr>
      <w:r>
        <w:rPr>
          <w:b w:val="0"/>
          <w:i w:val="0"/>
        </w:rPr>
        <w:t>for Discrimination Index, zero for CPP's delta score) use a paired-t-test or one-sample Wilcoxon signed-rank test (</w:t>
      </w:r>
      <w:r>
        <w:rPr>
          <w:rFonts w:ascii="Courier New" w:hAnsi="Courier New"/>
          <w:color w:val="C0392B"/>
          <w:sz w:val="18"/>
        </w:rPr>
        <w:t>run_one_sample_statistics</w:t>
      </w:r>
      <w:r>
        <w:rPr>
          <w:b w:val="0"/>
          <w:i w:val="0"/>
        </w:rPr>
        <w:t xml:space="preserve">), independently BH-FDR corrected, shown as cyan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dagger markers — a deliberately different visual convention from the star brackets above, so a reader cannot mistake "differs from chance" for "differs between groups." These are two different scientific questions and this tab never overlays them on the same symbol.</w:t>
      </w:r>
    </w:p>
    <w:p>
      <w:pPr>
        <w:pStyle w:val="ListBullet"/>
      </w:pPr>
      <w:r>
        <w:rPr>
          <w:b/>
          <w:i w:val="0"/>
          <w:sz w:val="21"/>
        </w:rPr>
        <w:t>Repeated-measures/paired comparisons</w:t>
      </w:r>
      <w:r>
        <w:rPr>
          <w:b w:val="0"/>
          <w:i w:val="0"/>
          <w:sz w:val="21"/>
        </w:rPr>
        <w:t xml:space="preserve"> (CPP pre- vs. post-test) reuse the exact same "Experimental</w:t>
      </w:r>
    </w:p>
    <w:p>
      <w:pPr>
        <w:spacing w:after="120"/>
      </w:pPr>
      <w:r>
        <w:rPr>
          <w:b w:val="0"/>
          <w:i w:val="0"/>
        </w:rPr>
        <w:t>Design" (Independent/Repeated Measures) and "Group by" controls Unbiased Analytics exposes — Wilcoxon signed-rank (2 levels) or Friedman's test (≥3), paired by Label 3/Animal ID. There is no CPP-specific "is this longitudinal" toggle; a pre/post design is expressed by setting "Group by" to whichever label column distinguishes the phases (e.g. Label 2 = "Pre"/"Post").</w:t>
      </w:r>
    </w:p>
    <w:p>
      <w:pPr>
        <w:pStyle w:val="ListBullet"/>
      </w:pPr>
      <w:r>
        <w:rPr>
          <w:b w:val="0"/>
          <w:i w:val="0"/>
          <w:sz w:val="21"/>
        </w:rPr>
        <w:t xml:space="preserve">Every between-group index gets a </w:t>
      </w:r>
      <w:r>
        <w:rPr>
          <w:b/>
          <w:i w:val="0"/>
          <w:sz w:val="21"/>
        </w:rPr>
        <w:t>mandatory activity/locomotor control metric</w:t>
      </w:r>
      <w:r>
        <w:rPr>
          <w:b w:val="0"/>
          <w:i w:val="0"/>
          <w:sz w:val="21"/>
        </w:rPr>
        <w:t xml:space="preserve"> shown alongside it (see</w:t>
      </w:r>
    </w:p>
    <w:p>
      <w:pPr>
        <w:spacing w:after="120"/>
      </w:pPr>
      <w:r>
        <w:rPr>
          <w:b w:val="0"/>
          <w:i w:val="0"/>
        </w:rPr>
        <w:t>§3, per paradigm) — a literature-driven design choice, not incidental: a treatment that looks anxiolytic/preferring/discriminating can be, in reality, a treatment that changes general locomotion, and reporting the index alone without the control invites exactly that confound.</w:t>
      </w:r>
    </w:p>
    <w:p>
      <w:pPr>
        <w:spacing w:before="80" w:after="80"/>
        <w:pBdr>
          <w:bottom w:val="single" w:sz="6" w:space="1" w:color="CCCCCC"/>
        </w:pBdr>
      </w:pPr>
    </w:p>
    <w:p>
      <w:pPr>
        <w:pStyle w:val="Heading2"/>
        <w:spacing w:before="200" w:after="80"/>
      </w:pPr>
      <w:r>
        <w:rPr>
          <w:b/>
          <w:color w:val="2E74B5"/>
          <w:sz w:val="28"/>
        </w:rPr>
        <w:t>3. Per-paradigm reference</w:t>
      </w:r>
    </w:p>
    <w:p>
      <w:pPr>
        <w:pStyle w:val="Heading3"/>
        <w:spacing w:before="160" w:after="80"/>
      </w:pPr>
      <w:r>
        <w:rPr>
          <w:b/>
          <w:color w:val="1F497D"/>
          <w:sz w:val="24"/>
        </w:rPr>
        <w:t>3.1 Generic (all paradigms, default view for Open Field / Custom)</w:t>
      </w:r>
    </w:p>
    <w:p>
      <w:pPr>
        <w:spacing w:after="120"/>
      </w:pPr>
      <w:r>
        <w:rPr>
          <w:b/>
          <w:i w:val="0"/>
        </w:rPr>
        <w:t>Tracing required:</w:t>
      </w:r>
      <w:r>
        <w:rPr>
          <w:b w:val="0"/>
          <w:i w:val="0"/>
        </w:rPr>
        <w:t xml:space="preserve"> none mandatory (works with a boundary alone), but any traced regions/objects populate the cross-tabs and region-time control bar. Open Field's paradigm-specific extras additionally look for a region whose name contains "center" (case-insensitive — see §5.2) and read </w:t>
      </w:r>
      <w:r>
        <w:rPr>
          <w:rFonts w:ascii="Courier New" w:hAnsi="Courier New"/>
          <w:color w:val="C0392B"/>
          <w:sz w:val="18"/>
        </w:rPr>
        <w:t>path_length_px</w:t>
      </w:r>
      <w:r>
        <w:rPr>
          <w:b w:val="0"/>
          <w:i w:val="0"/>
        </w:rPr>
        <w:t xml:space="preserve"> from the enriched sidecar (requires </w:t>
      </w:r>
      <w:r>
        <w:rPr>
          <w:rFonts w:ascii="Courier New" w:hAnsi="Courier New"/>
          <w:color w:val="C0392B"/>
          <w:sz w:val="18"/>
        </w:rPr>
        <w:t>kinematic_directedness_enabled</w:t>
      </w:r>
      <w:r>
        <w:rPr>
          <w:b w:val="0"/>
          <w:i w:val="0"/>
        </w:rPr>
        <w:t>).</w:t>
      </w:r>
    </w:p>
    <w:p>
      <w:pPr>
        <w:spacing w:after="120"/>
      </w:pPr>
      <w:r>
        <w:rPr>
          <w:b/>
          <w:i w:val="0"/>
        </w:rPr>
        <w:t>Graphs:</w:t>
      </w:r>
      <w:r>
        <w:rPr>
          <w:b w:val="0"/>
          <w:i w:val="0"/>
        </w:rPr>
        <w:t xml:space="preserve"> whole-arena occupancy heatmap; total-time-in-traced-regions bar (activity control); for </w:t>
      </w:r>
      <w:r>
        <w:rPr>
          <w:rFonts w:ascii="Courier New" w:hAnsi="Courier New"/>
          <w:color w:val="C0392B"/>
          <w:sz w:val="18"/>
        </w:rPr>
        <w:t>open_field</w:t>
      </w:r>
      <w:r>
        <w:rPr>
          <w:b w:val="0"/>
          <w:i w:val="0"/>
        </w:rPr>
        <w:t xml:space="preserve"> specifically, total distance traveled, center-zone entry frequency, a center-zone %-time-course across the trial (thigmotaxis dynamics, §2.3), and a mean-speed distribution across animals; cluster/group cross-tabs.</w:t>
      </w:r>
    </w:p>
    <w:p>
      <w:pPr>
        <w:spacing w:after="120"/>
      </w:pPr>
      <w:r>
        <w:rPr>
          <w:b/>
          <w:i w:val="0"/>
        </w:rPr>
        <w:t>Use case:</w:t>
      </w:r>
      <w:r>
        <w:rPr>
          <w:b w:val="0"/>
          <w:i w:val="0"/>
        </w:rPr>
        <w:t xml:space="preserve"> the default view for any session that isn't one of the five named paradigms, or a mixed/pilot cohort where no formal paradigm applies yet. Useful as a first-pass spatial sanity check before committing to a specific paradigm's role tagging.</w:t>
      </w:r>
    </w:p>
    <w:p>
      <w:pPr>
        <w:spacing w:after="120"/>
      </w:pPr>
      <w:r>
        <w:rPr>
          <w:b/>
          <w:i w:val="0"/>
        </w:rPr>
        <w:t>Shortcomings:</w:t>
      </w:r>
      <w:r>
        <w:rPr>
          <w:b w:val="0"/>
          <w:i w:val="0"/>
        </w:rPr>
        <w:t xml:space="preserve"> with no role vocabulary for </w:t>
      </w:r>
      <w:r>
        <w:rPr>
          <w:rFonts w:ascii="Courier New" w:hAnsi="Courier New"/>
          <w:color w:val="C0392B"/>
          <w:sz w:val="18"/>
        </w:rPr>
        <w:t>custom</w:t>
      </w:r>
      <w:r>
        <w:rPr>
          <w:b w:val="0"/>
          <w:i w:val="0"/>
        </w:rPr>
        <w:t>/</w:t>
      </w:r>
      <w:r>
        <w:rPr>
          <w:rFonts w:ascii="Courier New" w:hAnsi="Courier New"/>
          <w:color w:val="C0392B"/>
          <w:sz w:val="18"/>
        </w:rPr>
        <w:t>open_field</w:t>
      </w:r>
      <w:r>
        <w:rPr>
          <w:b w:val="0"/>
          <w:i w:val="0"/>
        </w:rPr>
        <w:t xml:space="preserve"> (</w:t>
      </w:r>
      <w:r>
        <w:rPr>
          <w:rFonts w:ascii="Courier New" w:hAnsi="Courier New"/>
          <w:color w:val="C0392B"/>
          <w:sz w:val="18"/>
        </w:rPr>
        <w:t>ENV_PARADIGM_ROLE_VOCAB</w:t>
      </w:r>
      <w:r>
        <w:rPr>
          <w:b w:val="0"/>
          <w:i w:val="0"/>
        </w:rPr>
        <w:t xml:space="preserve"> defines both as </w:t>
      </w:r>
      <w:r>
        <w:rPr>
          <w:rFonts w:ascii="Courier New" w:hAnsi="Courier New"/>
          <w:color w:val="C0392B"/>
          <w:sz w:val="18"/>
        </w:rPr>
        <w:t>{"regions": None, "objects": None}</w:t>
      </w:r>
      <w:r>
        <w:rPr>
          <w:b w:val="0"/>
          <w:i w:val="0"/>
        </w:rPr>
        <w:t>), there is no formal way to mark a "center zone" — the center-entry control relies on the user having literally named a region containing "center," a naming-convention heuristic that silently produces nothing if the convention isn't followed.</w:t>
      </w:r>
    </w:p>
    <w:p>
      <w:pPr>
        <w:spacing w:after="120"/>
      </w:pPr>
      <w:r>
        <w:rPr>
          <w:b/>
          <w:i w:val="0"/>
        </w:rPr>
        <w:t>Suggestions:</w:t>
      </w:r>
      <w:r>
        <w:rPr>
          <w:b w:val="0"/>
          <w:i w:val="0"/>
        </w:rPr>
        <w:t xml:space="preserve"> name a center region literally </w:t>
      </w:r>
      <w:r>
        <w:rPr>
          <w:rFonts w:ascii="Courier New" w:hAnsi="Courier New"/>
          <w:color w:val="C0392B"/>
          <w:sz w:val="18"/>
        </w:rPr>
        <w:t>"center"</w:t>
      </w:r>
      <w:r>
        <w:rPr>
          <w:b w:val="0"/>
          <w:i w:val="0"/>
        </w:rPr>
        <w:t xml:space="preserve"> or </w:t>
      </w:r>
      <w:r>
        <w:rPr>
          <w:rFonts w:ascii="Courier New" w:hAnsi="Courier New"/>
          <w:color w:val="C0392B"/>
          <w:sz w:val="18"/>
        </w:rPr>
        <w:t>"center_zone"</w:t>
      </w:r>
      <w:r>
        <w:rPr>
          <w:b w:val="0"/>
          <w:i w:val="0"/>
        </w:rPr>
        <w:t xml:space="preserve"> if using the Open Field thigmotaxis control; enable </w:t>
      </w:r>
      <w:r>
        <w:rPr>
          <w:rFonts w:ascii="Courier New" w:hAnsi="Courier New"/>
          <w:color w:val="C0392B"/>
          <w:sz w:val="18"/>
        </w:rPr>
        <w:t>kinematic_directedness_enabled</w:t>
      </w:r>
      <w:r>
        <w:rPr>
          <w:b w:val="0"/>
          <w:i w:val="0"/>
        </w:rPr>
        <w:t xml:space="preserve"> alongside </w:t>
      </w:r>
      <w:r>
        <w:rPr>
          <w:rFonts w:ascii="Courier New" w:hAnsi="Courier New"/>
          <w:color w:val="C0392B"/>
          <w:sz w:val="18"/>
        </w:rPr>
        <w:t>env_features_enabled</w:t>
      </w:r>
      <w:r>
        <w:rPr>
          <w:b w:val="0"/>
          <w:i w:val="0"/>
        </w:rPr>
        <w:t xml:space="preserve"> if the distance-traveled control matters for the study design — it is not retroactively computable otherwise.</w:t>
      </w:r>
    </w:p>
    <w:p>
      <w:pPr>
        <w:pStyle w:val="Heading3"/>
        <w:spacing w:before="160" w:after="80"/>
      </w:pPr>
      <w:r>
        <w:rPr>
          <w:b/>
          <w:color w:val="1F497D"/>
          <w:sz w:val="24"/>
        </w:rPr>
        <w:t>3.2 Y-Maze Alternation</w:t>
      </w:r>
    </w:p>
    <w:p>
      <w:pPr>
        <w:spacing w:after="120"/>
      </w:pPr>
      <w:r>
        <w:rPr>
          <w:b/>
          <w:i w:val="0"/>
        </w:rPr>
        <w:t>Tracing required:</w:t>
      </w:r>
      <w:r>
        <w:rPr>
          <w:b w:val="0"/>
          <w:i w:val="0"/>
        </w:rPr>
        <w:t xml:space="preserve"> ≥3 regions tagged role </w:t>
      </w:r>
      <w:r>
        <w:rPr>
          <w:rFonts w:ascii="Courier New" w:hAnsi="Courier New"/>
          <w:color w:val="C0392B"/>
          <w:sz w:val="18"/>
        </w:rPr>
        <w:t>"arm"</w:t>
      </w:r>
      <w:r>
        <w:rPr>
          <w:b w:val="0"/>
          <w:i w:val="0"/>
        </w:rPr>
        <w:t xml:space="preserve"> (</w:t>
      </w:r>
      <w:r>
        <w:rPr>
          <w:rFonts w:ascii="Courier New" w:hAnsi="Courier New"/>
          <w:color w:val="C0392B"/>
          <w:sz w:val="18"/>
        </w:rPr>
        <w:t>ENV_PARADIGM_MIN_ROLES["y_maze"] = {"arm": 3}</w:t>
      </w:r>
      <w:r>
        <w:rPr>
          <w:b w:val="0"/>
          <w:i w:val="0"/>
        </w:rPr>
        <w:t xml:space="preserve">); a </w:t>
      </w:r>
      <w:r>
        <w:rPr>
          <w:rFonts w:ascii="Courier New" w:hAnsi="Courier New"/>
          <w:color w:val="C0392B"/>
          <w:sz w:val="18"/>
        </w:rPr>
        <w:t>"hub"</w:t>
      </w:r>
      <w:r>
        <w:rPr>
          <w:b w:val="0"/>
          <w:i w:val="0"/>
        </w:rPr>
        <w:t>-tagged central region is supported and excluded from the alternation sequence.</w:t>
      </w:r>
    </w:p>
    <w:p>
      <w:pPr>
        <w:spacing w:after="120"/>
      </w:pPr>
      <w:r>
        <w:rPr>
          <w:b/>
          <w:i w:val="0"/>
        </w:rPr>
        <w:t>Graphs:</w:t>
      </w:r>
      <w:r>
        <w:rPr>
          <w:b w:val="0"/>
          <w:i w:val="0"/>
        </w:rPr>
        <w:t xml:space="preserve"> per-arm occupancy heatmap; spontaneous alternation % bar (between-group); total arm entries bar (mandatory activity control, tested as a </w:t>
      </w:r>
      <w:r>
        <w:rPr>
          <w:b/>
          <w:i w:val="0"/>
        </w:rPr>
        <w:t>separate</w:t>
      </w:r>
      <w:r>
        <w:rPr>
          <w:b w:val="0"/>
          <w:i w:val="0"/>
        </w:rPr>
        <w:t xml:space="preserve"> comparison from alternation %, per the field's standard practice — an alternation difference confounded by an entries difference is a common review objection); an arm-entry sequence strip (§2.3), one row per session, colored by which arm (or the hub, shown in gray) the animal occupied over time; cluster/group cross-tabs.</w:t>
      </w:r>
    </w:p>
    <w:p>
      <w:pPr>
        <w:spacing w:after="120"/>
      </w:pPr>
      <w:r>
        <w:rPr>
          <w:b/>
          <w:i w:val="0"/>
        </w:rPr>
        <w:t>Use case:</w:t>
      </w:r>
      <w:r>
        <w:rPr>
          <w:b w:val="0"/>
          <w:i w:val="0"/>
        </w:rPr>
        <w:t xml:space="preserve"> spatial working-memory assessment — spontaneous alternation % is the field-standard readout, computed from the region-entry sequence with the hub excluded (</w:t>
      </w:r>
      <w:r>
        <w:rPr>
          <w:rFonts w:ascii="Courier New" w:hAnsi="Courier New"/>
          <w:color w:val="C0392B"/>
          <w:sz w:val="18"/>
        </w:rPr>
        <w:t>_region_entry_sequence</w:t>
      </w:r>
      <w:r>
        <w:rPr>
          <w:b w:val="0"/>
          <w:i w:val="0"/>
        </w:rPr>
        <w:t xml:space="preserve">, </w:t>
      </w:r>
      <w:r>
        <w:rPr>
          <w:rFonts w:ascii="Courier New" w:hAnsi="Courier New"/>
          <w:color w:val="C0392B"/>
          <w:sz w:val="18"/>
        </w:rPr>
        <w:t>Environmental_Context_v6_Implementation_Report.md</w:t>
      </w:r>
      <w:r>
        <w:rPr>
          <w:b w:val="0"/>
          <w:i w:val="0"/>
        </w:rPr>
        <w:t xml:space="preserve"> §Step 4).</w:t>
      </w:r>
    </w:p>
    <w:p>
      <w:pPr>
        <w:spacing w:after="120"/>
      </w:pPr>
      <w:r>
        <w:rPr>
          <w:b/>
          <w:i w:val="0"/>
        </w:rPr>
        <w:t>Shortcomings:</w:t>
      </w:r>
      <w:r>
        <w:rPr>
          <w:b w:val="0"/>
          <w:i w:val="0"/>
        </w:rPr>
        <w:t xml:space="preserve"> alternation % and entry-sequence quality depend entirely on correct region role tagging (arm vs. hub) — a mistagged hub counted as a fourth arm silently corrupts every alternation triad it appears in. No ground-truth validation of the sequence extraction against hand-scored video exists in this codebase.</w:t>
      </w:r>
    </w:p>
    <w:p>
      <w:pPr>
        <w:spacing w:after="120"/>
      </w:pPr>
      <w:r>
        <w:rPr>
          <w:b/>
          <w:i w:val="0"/>
        </w:rPr>
        <w:t>Suggestions:</w:t>
      </w:r>
      <w:r>
        <w:rPr>
          <w:b w:val="0"/>
          <w:i w:val="0"/>
        </w:rPr>
        <w:t xml:space="preserve"> verify the hub region is tagged </w:t>
      </w:r>
      <w:r>
        <w:rPr>
          <w:rFonts w:ascii="Courier New" w:hAnsi="Courier New"/>
          <w:color w:val="C0392B"/>
          <w:sz w:val="18"/>
        </w:rPr>
        <w:t>"hub"</w:t>
      </w:r>
      <w:r>
        <w:rPr>
          <w:b w:val="0"/>
          <w:i w:val="0"/>
        </w:rPr>
        <w:t xml:space="preserve">, not left untagged or tagged </w:t>
      </w:r>
      <w:r>
        <w:rPr>
          <w:rFonts w:ascii="Courier New" w:hAnsi="Courier New"/>
          <w:color w:val="C0392B"/>
          <w:sz w:val="18"/>
        </w:rPr>
        <w:t>"arm"</w:t>
      </w:r>
      <w:r>
        <w:rPr>
          <w:b w:val="0"/>
          <w:i w:val="0"/>
        </w:rPr>
        <w:t xml:space="preserve">, before running the pipeline — this cannot be corrected after the fact in the Analyser, since role tags live in </w:t>
      </w:r>
      <w:r>
        <w:rPr>
          <w:rFonts w:ascii="Courier New" w:hAnsi="Courier New"/>
          <w:color w:val="C0392B"/>
          <w:sz w:val="18"/>
        </w:rPr>
        <w:t>env_arena_cfg</w:t>
      </w:r>
      <w:r>
        <w:rPr>
          <w:b w:val="0"/>
          <w:i w:val="0"/>
        </w:rPr>
        <w:t>, not in any per-run output.</w:t>
      </w:r>
    </w:p>
    <w:p>
      <w:pPr>
        <w:pStyle w:val="Heading3"/>
        <w:spacing w:before="160" w:after="80"/>
      </w:pPr>
      <w:r>
        <w:rPr>
          <w:b/>
          <w:color w:val="1F497D"/>
          <w:sz w:val="24"/>
        </w:rPr>
        <w:t>3.3 Elevated Plus Maze (EPM)</w:t>
      </w:r>
    </w:p>
    <w:p>
      <w:pPr>
        <w:spacing w:after="120"/>
      </w:pPr>
      <w:r>
        <w:rPr>
          <w:b/>
          <w:i w:val="0"/>
        </w:rPr>
        <w:t>Tracing required:</w:t>
      </w:r>
      <w:r>
        <w:rPr>
          <w:b w:val="0"/>
          <w:i w:val="0"/>
        </w:rPr>
        <w:t xml:space="preserve"> ≥1 region tagged </w:t>
      </w:r>
      <w:r>
        <w:rPr>
          <w:rFonts w:ascii="Courier New" w:hAnsi="Courier New"/>
          <w:color w:val="C0392B"/>
          <w:sz w:val="18"/>
        </w:rPr>
        <w:t>"open_arm"</w:t>
      </w:r>
      <w:r>
        <w:rPr>
          <w:b w:val="0"/>
          <w:i w:val="0"/>
        </w:rPr>
        <w:t xml:space="preserve"> and ≥1 tagged </w:t>
      </w:r>
      <w:r>
        <w:rPr>
          <w:rFonts w:ascii="Courier New" w:hAnsi="Courier New"/>
          <w:color w:val="C0392B"/>
          <w:sz w:val="18"/>
        </w:rPr>
        <w:t>"closed_arm"</w:t>
      </w:r>
      <w:r>
        <w:rPr>
          <w:b w:val="0"/>
          <w:i w:val="0"/>
        </w:rPr>
        <w:t xml:space="preserve"> (</w:t>
      </w:r>
      <w:r>
        <w:rPr>
          <w:rFonts w:ascii="Courier New" w:hAnsi="Courier New"/>
          <w:color w:val="C0392B"/>
          <w:sz w:val="18"/>
        </w:rPr>
        <w:t>ENV_PARADIGM_MIN_ROLES["elevated_plus_maze"]</w:t>
      </w:r>
      <w:r>
        <w:rPr>
          <w:b w:val="0"/>
          <w:i w:val="0"/>
        </w:rPr>
        <w:t xml:space="preserve">); a </w:t>
      </w:r>
      <w:r>
        <w:rPr>
          <w:rFonts w:ascii="Courier New" w:hAnsi="Courier New"/>
          <w:color w:val="C0392B"/>
          <w:sz w:val="18"/>
        </w:rPr>
        <w:t>"center"</w:t>
      </w:r>
      <w:r>
        <w:rPr>
          <w:b w:val="0"/>
          <w:i w:val="0"/>
        </w:rPr>
        <w:t>-tagged region is supported.</w:t>
      </w:r>
    </w:p>
    <w:p>
      <w:pPr>
        <w:spacing w:after="120"/>
      </w:pPr>
      <w:r>
        <w:rPr>
          <w:b/>
          <w:i w:val="0"/>
        </w:rPr>
        <w:t>Graphs:</w:t>
      </w:r>
      <w:r>
        <w:rPr>
          <w:b w:val="0"/>
          <w:i w:val="0"/>
        </w:rPr>
        <w:t xml:space="preserve"> open- vs. closed-arm occupancy heatmap; % time in open arms, % open-arm entries, and latency to first open-arm entry (three separate bars); total arm entries bar (mandatory locomotor control — the single most common EPM criticism in review is an anxiolytic-looking effect that is actually a locomotor confound); an open-arm %-time-course across the trial (§2.3); a "head-dip / peering-out" bar — the mean fraction of time the nose point fell outside the traced arena boundary while the body stayed on it (only shown when a boundary shape was traced) — a </w:t>
      </w:r>
      <w:r>
        <w:rPr>
          <w:b/>
          <w:i w:val="0"/>
        </w:rPr>
        <w:t>geometric proxy, not a validated head-dip or stretch-attend-posture classifier</w:t>
      </w:r>
      <w:r>
        <w:rPr>
          <w:b w:val="0"/>
          <w:i w:val="0"/>
        </w:rPr>
        <w:t xml:space="preserve">, using the new </w:t>
      </w:r>
      <w:r>
        <w:rPr>
          <w:rFonts w:ascii="Courier New" w:hAnsi="Courier New"/>
          <w:color w:val="C0392B"/>
          <w:sz w:val="18"/>
        </w:rPr>
        <w:t>nose_outside_boundary</w:t>
      </w:r>
      <w:r>
        <w:rPr>
          <w:b w:val="0"/>
          <w:i w:val="0"/>
        </w:rPr>
        <w:t xml:space="preserve"> per-bin key; cluster/group cross-tabs.</w:t>
      </w:r>
    </w:p>
    <w:p>
      <w:pPr>
        <w:spacing w:after="120"/>
      </w:pPr>
      <w:r>
        <w:rPr>
          <w:b/>
          <w:i w:val="0"/>
        </w:rPr>
        <w:t>Use case:</w:t>
      </w:r>
      <w:r>
        <w:rPr>
          <w:b w:val="0"/>
          <w:i w:val="0"/>
        </w:rPr>
        <w:t xml:space="preserve"> unconditioned anxiety-like behavior assay. All three primary metrics are reported independently rather than folded into one index, since the literature does not treat them as interchangeable (time, entries, and latency can dissociate).</w:t>
      </w:r>
    </w:p>
    <w:p>
      <w:pPr>
        <w:spacing w:after="120"/>
      </w:pPr>
      <w:r>
        <w:rPr>
          <w:b/>
          <w:i w:val="0"/>
        </w:rPr>
        <w:t>Shortcomings:</w:t>
      </w:r>
      <w:r>
        <w:rPr>
          <w:b w:val="0"/>
          <w:i w:val="0"/>
        </w:rPr>
        <w:t xml:space="preserve"> same role-tagging dependency as Y-Maze; additionally, the current occupancy heatmap approximation (§2.1) is least informative for EPM specifically, since the true arm geometry (narrow, elongated, meeting at a central platform) is exactly the kind of non-convex shape a convex hull represents poorly. The head-dip/peering-out bar is a cheap geometric proxy (nose crossed the traced boundary edge, body didn't) added because nose-point tracking was already available for objects but not applied to region boundaries — it is </w:t>
      </w:r>
      <w:r>
        <w:rPr>
          <w:b/>
          <w:i w:val="0"/>
        </w:rPr>
        <w:t>not</w:t>
      </w:r>
      <w:r>
        <w:rPr>
          <w:b w:val="0"/>
          <w:i w:val="0"/>
        </w:rPr>
        <w:t xml:space="preserve"> a validated stretch-attend-posture or head-dip behavioral classifier, and full posture-based SAP detection remains explicitly out of scope (deferred, along with the Y-Maze novel-arm variant).</w:t>
      </w:r>
    </w:p>
    <w:p>
      <w:pPr>
        <w:spacing w:after="120"/>
      </w:pPr>
      <w:r>
        <w:rPr>
          <w:b/>
          <w:i w:val="0"/>
        </w:rPr>
        <w:t>Suggestions:</w:t>
      </w:r>
      <w:r>
        <w:rPr>
          <w:b w:val="0"/>
          <w:i w:val="0"/>
        </w:rPr>
        <w:t xml:space="preserve"> trace open and closed arms as separate, non-overlapping region polygons even though they physically share the central platform edge, so entry/exit counting is unambiguous; treat the drawn "(approx.)" outline as directional guidance only, not a substitute for reviewing the raw traced arena in </w:t>
      </w:r>
      <w:r>
        <w:rPr>
          <w:rFonts w:ascii="Courier New" w:hAnsi="Courier New"/>
          <w:color w:val="C0392B"/>
          <w:sz w:val="18"/>
        </w:rPr>
        <w:t>EnvContextWindow</w:t>
      </w:r>
      <w:r>
        <w:rPr>
          <w:b w:val="0"/>
          <w:i w:val="0"/>
        </w:rPr>
        <w:t>.</w:t>
      </w:r>
    </w:p>
    <w:p>
      <w:pPr>
        <w:pStyle w:val="Heading3"/>
        <w:spacing w:before="160" w:after="80"/>
      </w:pPr>
      <w:r>
        <w:rPr>
          <w:b/>
          <w:color w:val="1F497D"/>
          <w:sz w:val="24"/>
        </w:rPr>
        <w:t>3.4 Discrimination Index (Novel Object Recognition)</w:t>
      </w:r>
    </w:p>
    <w:p>
      <w:pPr>
        <w:spacing w:after="120"/>
      </w:pPr>
      <w:r>
        <w:rPr>
          <w:b/>
          <w:i w:val="0"/>
        </w:rPr>
        <w:t>Tracing required:</w:t>
      </w:r>
      <w:r>
        <w:rPr>
          <w:b w:val="0"/>
          <w:i w:val="0"/>
        </w:rPr>
        <w:t xml:space="preserve"> ≥1 object tagged </w:t>
      </w:r>
      <w:r>
        <w:rPr>
          <w:rFonts w:ascii="Courier New" w:hAnsi="Courier New"/>
          <w:color w:val="C0392B"/>
          <w:sz w:val="18"/>
        </w:rPr>
        <w:t>"novel"</w:t>
      </w:r>
      <w:r>
        <w:rPr>
          <w:b w:val="0"/>
          <w:i w:val="0"/>
        </w:rPr>
        <w:t xml:space="preserve"> and ≥1 tagged </w:t>
      </w:r>
      <w:r>
        <w:rPr>
          <w:rFonts w:ascii="Courier New" w:hAnsi="Courier New"/>
          <w:color w:val="C0392B"/>
          <w:sz w:val="18"/>
        </w:rPr>
        <w:t>"familiar"</w:t>
      </w:r>
      <w:r>
        <w:rPr>
          <w:b w:val="0"/>
          <w:i w:val="0"/>
        </w:rPr>
        <w:t xml:space="preserve"> (</w:t>
      </w:r>
      <w:r>
        <w:rPr>
          <w:rFonts w:ascii="Courier New" w:hAnsi="Courier New"/>
          <w:color w:val="C0392B"/>
          <w:sz w:val="18"/>
        </w:rPr>
        <w:t>ENV_PARADIGM_MIN_ROLES["novel_object"]</w:t>
      </w:r>
      <w:r>
        <w:rPr>
          <w:b w:val="0"/>
          <w:i w:val="0"/>
        </w:rPr>
        <w:t>).</w:t>
      </w:r>
    </w:p>
    <w:p>
      <w:pPr>
        <w:spacing w:after="120"/>
      </w:pPr>
      <w:r>
        <w:rPr>
          <w:b/>
          <w:i w:val="0"/>
        </w:rPr>
        <w:t>Graphs:</w:t>
      </w:r>
      <w:r>
        <w:rPr>
          <w:b w:val="0"/>
          <w:i w:val="0"/>
        </w:rPr>
        <w:t xml:space="preserve"> investigation-density heatmap around each object; discrimination index bar, tested </w:t>
      </w:r>
      <w:r>
        <w:rPr>
          <w:b/>
          <w:i w:val="0"/>
        </w:rPr>
        <w:t>both</w:t>
      </w:r>
      <w:r>
        <w:rPr>
          <w:b w:val="0"/>
          <w:i w:val="0"/>
        </w:rPr>
        <w:t xml:space="preserve"> between-group and one-sample-against-chance (0.0 — the field-standard test, since a discrimination index of 0 is the null expectation of no preference); total exploration time across both objects (mandatory validity control — low total exploration makes the index statistically unreliable regardless of its point estimate, and is routinely reported alongside it in the literature); a nose-to-novel-object investigation-distance time-course across the trial (§2.3, lower = closer investigation); an investigation bout-duration distribution (each point is one bout, not one animal); a latency-to-first-contact bar; cluster/group cross-tabs.</w:t>
      </w:r>
    </w:p>
    <w:p>
      <w:pPr>
        <w:spacing w:after="120"/>
      </w:pPr>
      <w:r>
        <w:rPr>
          <w:b/>
          <w:i w:val="0"/>
        </w:rPr>
        <w:t>Use case:</w:t>
      </w:r>
      <w:r>
        <w:rPr>
          <w:b w:val="0"/>
          <w:i w:val="0"/>
        </w:rPr>
        <w:t xml:space="preserve"> recognition-memory assay. The one-sample-vs-chance test is the primary scientific claim this paradigm makes ("did this group show discrimination at all") — the between-group test is secondary ("did discrimination differ between groups").</w:t>
      </w:r>
    </w:p>
    <w:p>
      <w:pPr>
        <w:spacing w:after="120"/>
      </w:pPr>
      <w:r>
        <w:rPr>
          <w:b/>
          <w:i w:val="0"/>
        </w:rPr>
        <w:t>Shortcomings:</w:t>
      </w:r>
      <w:r>
        <w:rPr>
          <w:b w:val="0"/>
          <w:i w:val="0"/>
        </w:rPr>
        <w:t xml:space="preserve"> the discrimination index and total exploration time both derive from nose/paw-to-object distance thresholding (</w:t>
      </w:r>
      <w:r>
        <w:rPr>
          <w:rFonts w:ascii="Courier New" w:hAnsi="Courier New"/>
          <w:color w:val="C0392B"/>
          <w:sz w:val="18"/>
        </w:rPr>
        <w:t>interaction_threshold_px</w:t>
      </w:r>
      <w:r>
        <w:rPr>
          <w:b w:val="0"/>
          <w:i w:val="0"/>
        </w:rPr>
        <w:t>, auto-derived from one body length unless set manually) — a single global threshold per session, not object-specific, and not validated against hand-scored investigation bouts.</w:t>
      </w:r>
    </w:p>
    <w:p>
      <w:pPr>
        <w:spacing w:after="120"/>
      </w:pPr>
      <w:r>
        <w:rPr>
          <w:b/>
          <w:i w:val="0"/>
        </w:rPr>
        <w:t>Suggestions:</w:t>
      </w:r>
      <w:r>
        <w:rPr>
          <w:b w:val="0"/>
          <w:i w:val="0"/>
        </w:rPr>
        <w:t xml:space="preserve"> report total exploration time alongside the index in any write-up, not just the index alone; if </w:t>
      </w:r>
      <w:r>
        <w:rPr>
          <w:rFonts w:ascii="Courier New" w:hAnsi="Courier New"/>
          <w:color w:val="C0392B"/>
          <w:sz w:val="18"/>
        </w:rPr>
        <w:t>interaction_threshold_px</w:t>
      </w:r>
      <w:r>
        <w:rPr>
          <w:b w:val="0"/>
          <w:i w:val="0"/>
        </w:rPr>
        <w:t xml:space="preserve"> is left on auto, verify the auto-derived value (visible in </w:t>
      </w:r>
      <w:r>
        <w:rPr>
          <w:rFonts w:ascii="Courier New" w:hAnsi="Courier New"/>
          <w:color w:val="C0392B"/>
          <w:sz w:val="18"/>
        </w:rPr>
        <w:t>session_env_context.json</w:t>
      </w:r>
      <w:r>
        <w:rPr>
          <w:b w:val="0"/>
          <w:i w:val="0"/>
        </w:rPr>
        <w:t xml:space="preserve">'s </w:t>
      </w:r>
      <w:r>
        <w:rPr>
          <w:rFonts w:ascii="Courier New" w:hAnsi="Courier New"/>
          <w:color w:val="C0392B"/>
          <w:sz w:val="18"/>
        </w:rPr>
        <w:t>summary.interaction_threshold_px</w:t>
      </w:r>
      <w:r>
        <w:rPr>
          <w:b w:val="0"/>
          <w:i w:val="0"/>
        </w:rPr>
        <w:t>) is physically reasonable for the animal and camera setup before trusting the index.</w:t>
      </w:r>
    </w:p>
    <w:p>
      <w:pPr>
        <w:pStyle w:val="Heading3"/>
        <w:spacing w:before="160" w:after="80"/>
      </w:pPr>
      <w:r>
        <w:rPr>
          <w:b/>
          <w:color w:val="1F497D"/>
          <w:sz w:val="24"/>
        </w:rPr>
        <w:t>3.5 Sociability / Social Novelty (Three-Chamber Test)</w:t>
      </w:r>
    </w:p>
    <w:p>
      <w:pPr>
        <w:spacing w:after="120"/>
      </w:pPr>
      <w:r>
        <w:rPr>
          <w:b/>
          <w:i w:val="0"/>
        </w:rPr>
        <w:t>Tracing required:</w:t>
      </w:r>
      <w:r>
        <w:rPr>
          <w:b w:val="0"/>
          <w:i w:val="0"/>
        </w:rPr>
        <w:t xml:space="preserve"> for Phase 1 (sociability), objects tagged </w:t>
      </w:r>
      <w:r>
        <w:rPr>
          <w:rFonts w:ascii="Courier New" w:hAnsi="Courier New"/>
          <w:color w:val="C0392B"/>
          <w:sz w:val="18"/>
        </w:rPr>
        <w:t>"stranger"</w:t>
      </w:r>
      <w:r>
        <w:rPr>
          <w:b w:val="0"/>
          <w:i w:val="0"/>
        </w:rPr>
        <w:t xml:space="preserve"> and </w:t>
      </w:r>
      <w:r>
        <w:rPr>
          <w:rFonts w:ascii="Courier New" w:hAnsi="Courier New"/>
          <w:color w:val="C0392B"/>
          <w:sz w:val="18"/>
        </w:rPr>
        <w:t>"empty"</w:t>
      </w:r>
      <w:r>
        <w:rPr>
          <w:b w:val="0"/>
          <w:i w:val="0"/>
        </w:rPr>
        <w:t xml:space="preserve">; for Phase 2 (social novelty), </w:t>
      </w:r>
      <w:r>
        <w:rPr>
          <w:rFonts w:ascii="Courier New" w:hAnsi="Courier New"/>
          <w:color w:val="C0392B"/>
          <w:sz w:val="18"/>
        </w:rPr>
        <w:t>"stranger"</w:t>
      </w:r>
      <w:r>
        <w:rPr>
          <w:b w:val="0"/>
          <w:i w:val="0"/>
        </w:rPr>
        <w:t xml:space="preserve"> and </w:t>
      </w:r>
      <w:r>
        <w:rPr>
          <w:rFonts w:ascii="Courier New" w:hAnsi="Courier New"/>
          <w:color w:val="C0392B"/>
          <w:sz w:val="18"/>
        </w:rPr>
        <w:t>"novel_stranger"</w:t>
      </w:r>
      <w:r>
        <w:rPr>
          <w:b w:val="0"/>
          <w:i w:val="0"/>
        </w:rPr>
        <w:t xml:space="preserve"> (</w:t>
      </w:r>
      <w:r>
        <w:rPr>
          <w:rFonts w:ascii="Courier New" w:hAnsi="Courier New"/>
          <w:color w:val="C0392B"/>
          <w:sz w:val="18"/>
        </w:rPr>
        <w:t>ENV_PARADIGM_MIN_ROLES["three_chamber"]</w:t>
      </w:r>
      <w:r>
        <w:rPr>
          <w:b w:val="0"/>
          <w:i w:val="0"/>
        </w:rPr>
        <w:t xml:space="preserve"> requires </w:t>
      </w:r>
      <w:r>
        <w:rPr>
          <w:rFonts w:ascii="Courier New" w:hAnsi="Courier New"/>
          <w:color w:val="C0392B"/>
          <w:sz w:val="18"/>
        </w:rPr>
        <w:t>stranger</w:t>
      </w:r>
      <w:r>
        <w:rPr>
          <w:b w:val="0"/>
          <w:i w:val="0"/>
        </w:rPr>
        <w:t>+</w:t>
      </w:r>
      <w:r>
        <w:rPr>
          <w:rFonts w:ascii="Courier New" w:hAnsi="Courier New"/>
          <w:color w:val="C0392B"/>
          <w:sz w:val="18"/>
        </w:rPr>
        <w:t>empty</w:t>
      </w:r>
      <w:r>
        <w:rPr>
          <w:b w:val="0"/>
          <w:i w:val="0"/>
        </w:rPr>
        <w:t xml:space="preserve"> at minimum for the derived metric to compute at all).</w:t>
      </w:r>
    </w:p>
    <w:p>
      <w:pPr>
        <w:spacing w:after="120"/>
      </w:pPr>
      <w:r>
        <w:rPr>
          <w:b/>
          <w:i w:val="0"/>
        </w:rPr>
        <w:t>Graphs:</w:t>
      </w:r>
      <w:r>
        <w:rPr>
          <w:b w:val="0"/>
          <w:i w:val="0"/>
        </w:rPr>
        <w:t xml:space="preserve"> per-chamber occupancy heatmap, one panel per phase (never pooled — pooling phase 1 and phase 2 together conflates two distinct hypotheses, a design choice made explicitly in the plan); Phase 1 sociability index and Phase 2 social-novelty index as two </w:t>
      </w:r>
      <w:r>
        <w:rPr>
          <w:b/>
          <w:i w:val="0"/>
        </w:rPr>
        <w:t>independently</w:t>
      </w:r>
      <w:r>
        <w:rPr>
          <w:b w:val="0"/>
          <w:i w:val="0"/>
        </w:rPr>
        <w:t xml:space="preserve"> tested bars, each against chance (0.0); chamber entry frequency (mandatory activity control); a nose-to-stranger investigation-distance time-course across the trial (§2.3) </w:t>
      </w:r>
      <w:r>
        <w:rPr>
          <w:b/>
          <w:i w:val="0"/>
        </w:rPr>
        <w:t>in place of</w:t>
      </w:r>
      <w:r>
        <w:rPr>
          <w:b w:val="0"/>
          <w:i w:val="0"/>
        </w:rPr>
        <w:t xml:space="preserve"> a chamber-occupancy time-course — this paradigm's role vocabulary is on the traced objects (stranger/empty/novel_stranger), not the chamber regions, so a role-filtered %-time-in-chamber-over-time isn't available the way EPM's open/closed-arm time-course is; an investigation bout-duration distribution; a latency-to-first-contact-with-stranger bar; cluster/group cross-tabs.</w:t>
      </w:r>
    </w:p>
    <w:p>
      <w:pPr>
        <w:spacing w:after="120"/>
      </w:pPr>
      <w:r>
        <w:rPr>
          <w:b/>
          <w:i w:val="0"/>
        </w:rPr>
        <w:t>Use case:</w:t>
      </w:r>
      <w:r>
        <w:rPr>
          <w:b w:val="0"/>
          <w:i w:val="0"/>
        </w:rPr>
        <w:t xml:space="preserve"> social-approach and social-novelty-preference assays, the two classically dissociated sub-questions the three-chamber paradigm is designed to separate.</w:t>
      </w:r>
    </w:p>
    <w:p>
      <w:pPr>
        <w:spacing w:after="120"/>
      </w:pPr>
      <w:r>
        <w:rPr>
          <w:b/>
          <w:i w:val="0"/>
        </w:rPr>
        <w:t>Shortcomings:</w:t>
      </w:r>
      <w:r>
        <w:rPr>
          <w:b w:val="0"/>
          <w:i w:val="0"/>
        </w:rPr>
        <w:t xml:space="preserve"> the two-phase protocol requires per-video </w:t>
      </w:r>
      <w:r>
        <w:rPr>
          <w:rFonts w:ascii="Courier New" w:hAnsi="Courier New"/>
          <w:color w:val="C0392B"/>
          <w:sz w:val="18"/>
        </w:rPr>
        <w:t>role_overrides</w:t>
      </w:r>
      <w:r>
        <w:rPr>
          <w:b w:val="0"/>
          <w:i w:val="0"/>
        </w:rPr>
        <w:t xml:space="preserve"> (the same object cup is </w:t>
      </w:r>
      <w:r>
        <w:rPr>
          <w:rFonts w:ascii="Courier New" w:hAnsi="Courier New"/>
          <w:color w:val="C0392B"/>
          <w:sz w:val="18"/>
        </w:rPr>
        <w:t>"empty"</w:t>
      </w:r>
      <w:r>
        <w:rPr>
          <w:b w:val="0"/>
          <w:i w:val="0"/>
        </w:rPr>
        <w:t xml:space="preserve"> in Phase 1 and may need re-tagging </w:t>
      </w:r>
      <w:r>
        <w:rPr>
          <w:rFonts w:ascii="Courier New" w:hAnsi="Courier New"/>
          <w:color w:val="C0392B"/>
          <w:sz w:val="18"/>
        </w:rPr>
        <w:t>"novel_stranger"</w:t>
      </w:r>
      <w:r>
        <w:rPr>
          <w:b w:val="0"/>
          <w:i w:val="0"/>
        </w:rPr>
        <w:t xml:space="preserve"> in Phase 2) — a manual step in </w:t>
      </w:r>
      <w:r>
        <w:rPr>
          <w:rFonts w:ascii="Courier New" w:hAnsi="Courier New"/>
          <w:color w:val="C0392B"/>
          <w:sz w:val="18"/>
        </w:rPr>
        <w:t>EnvContextWindow</w:t>
      </w:r>
      <w:r>
        <w:rPr>
          <w:b w:val="0"/>
          <w:i w:val="0"/>
        </w:rPr>
        <w:t xml:space="preserve"> Tab 2 that is easy to skip, silently causing Phase 2's derived metric to compute against the wrong role assignment rather than failing loudly.</w:t>
      </w:r>
    </w:p>
    <w:p>
      <w:pPr>
        <w:spacing w:after="120"/>
      </w:pPr>
      <w:r>
        <w:rPr>
          <w:b/>
          <w:i w:val="0"/>
        </w:rPr>
        <w:t>Suggestions:</w:t>
      </w:r>
      <w:r>
        <w:rPr>
          <w:b w:val="0"/>
          <w:i w:val="0"/>
        </w:rPr>
        <w:t xml:space="preserve"> double-check phase-appropriate role assignment per video explicitly before running the pipeline, per session — this is flagged as a light validation caveat in the plan and is the single most paradigm-specific tracing error to watch for in this tab.</w:t>
      </w:r>
    </w:p>
    <w:p>
      <w:pPr>
        <w:pStyle w:val="Heading3"/>
        <w:spacing w:before="160" w:after="80"/>
      </w:pPr>
      <w:r>
        <w:rPr>
          <w:b/>
          <w:color w:val="1F497D"/>
          <w:sz w:val="24"/>
        </w:rPr>
        <w:t>3.6 Place Preference / CPP</w:t>
      </w:r>
    </w:p>
    <w:p>
      <w:pPr>
        <w:spacing w:after="120"/>
      </w:pPr>
      <w:r>
        <w:rPr>
          <w:b/>
          <w:i w:val="0"/>
        </w:rPr>
        <w:t>Tracing required:</w:t>
      </w:r>
      <w:r>
        <w:rPr>
          <w:b w:val="0"/>
          <w:i w:val="0"/>
        </w:rPr>
        <w:t xml:space="preserve"> ≥1 region tagged </w:t>
      </w:r>
      <w:r>
        <w:rPr>
          <w:rFonts w:ascii="Courier New" w:hAnsi="Courier New"/>
          <w:color w:val="C0392B"/>
          <w:sz w:val="18"/>
        </w:rPr>
        <w:t>"paired"</w:t>
      </w:r>
      <w:r>
        <w:rPr>
          <w:b w:val="0"/>
          <w:i w:val="0"/>
        </w:rPr>
        <w:t xml:space="preserve"> and ≥1 tagged </w:t>
      </w:r>
      <w:r>
        <w:rPr>
          <w:rFonts w:ascii="Courier New" w:hAnsi="Courier New"/>
          <w:color w:val="C0392B"/>
          <w:sz w:val="18"/>
        </w:rPr>
        <w:t>"unpaired"</w:t>
      </w:r>
      <w:r>
        <w:rPr>
          <w:b w:val="0"/>
          <w:i w:val="0"/>
        </w:rPr>
        <w:t xml:space="preserve"> (</w:t>
      </w:r>
      <w:r>
        <w:rPr>
          <w:rFonts w:ascii="Courier New" w:hAnsi="Courier New"/>
          <w:color w:val="C0392B"/>
          <w:sz w:val="18"/>
        </w:rPr>
        <w:t>ENV_PARADIGM_MIN_ROLES["place_preference"]</w:t>
      </w:r>
      <w:r>
        <w:rPr>
          <w:b w:val="0"/>
          <w:i w:val="0"/>
        </w:rPr>
        <w:t xml:space="preserve">); </w:t>
      </w:r>
      <w:r>
        <w:rPr>
          <w:rFonts w:ascii="Courier New" w:hAnsi="Courier New"/>
          <w:color w:val="C0392B"/>
          <w:sz w:val="18"/>
        </w:rPr>
        <w:t>"neutral"</w:t>
      </w:r>
      <w:r>
        <w:rPr>
          <w:b w:val="0"/>
          <w:i w:val="0"/>
        </w:rPr>
        <w:t xml:space="preserve"> is supported.</w:t>
      </w:r>
    </w:p>
    <w:p>
      <w:pPr>
        <w:spacing w:after="120"/>
      </w:pPr>
      <w:r>
        <w:rPr>
          <w:b/>
          <w:i w:val="0"/>
        </w:rPr>
        <w:t>Graphs:</w:t>
      </w:r>
      <w:r>
        <w:rPr>
          <w:b w:val="0"/>
          <w:i w:val="0"/>
        </w:rPr>
        <w:t xml:space="preserve"> occupancy heatmap (pre- vs. post-test side by side when a genuine pre-test phase exists — the </w:t>
      </w:r>
      <w:r>
        <w:rPr>
          <w:b/>
          <w:i w:val="0"/>
        </w:rPr>
        <w:t>primary</w:t>
      </w:r>
      <w:r>
        <w:rPr>
          <w:b w:val="0"/>
          <w:i w:val="0"/>
        </w:rPr>
        <w:t xml:space="preserve"> figure for this paradigm, not secondary, since the numeric index alone omits whether a preference was uniform across the chamber or concentrated near the paired-side cue); preference index bar, tested both one-sample-against-zero (delta/CPP-score) and between-group; when "Experimental Design" is set to Repeated Measures with a genuine pre-test phase, an additional paired pre/post comparison (</w:t>
      </w:r>
      <w:r>
        <w:rPr>
          <w:rFonts w:ascii="Courier New" w:hAnsi="Courier New"/>
          <w:color w:val="C0392B"/>
          <w:sz w:val="18"/>
        </w:rPr>
        <w:t>run_cluster_statistics(design="repeated")</w:t>
      </w:r>
      <w:r>
        <w:rPr>
          <w:b w:val="0"/>
          <w:i w:val="0"/>
        </w:rPr>
        <w:t xml:space="preserve">) </w:t>
      </w:r>
      <w:r>
        <w:rPr>
          <w:b/>
          <w:i w:val="0"/>
        </w:rPr>
        <w:t>and</w:t>
      </w:r>
      <w:r>
        <w:rPr>
          <w:b w:val="0"/>
          <w:i w:val="0"/>
        </w:rPr>
        <w:t xml:space="preserve"> a paired pre → post dumbbell plot (§2.3, one line per matched subject — the standard CPP figure for individual-animal change); a cumulative chamber-crossing time-course across the trial (activity control, shown for every design); cluster/group cross-tabs.</w:t>
      </w:r>
    </w:p>
    <w:p>
      <w:pPr>
        <w:spacing w:after="120"/>
      </w:pPr>
      <w:r>
        <w:rPr>
          <w:b/>
          <w:i w:val="0"/>
        </w:rPr>
        <w:t>Use case:</w:t>
      </w:r>
      <w:r>
        <w:rPr>
          <w:b w:val="0"/>
          <w:i w:val="0"/>
        </w:rPr>
        <w:t xml:space="preserve"> conditioned place preference/aversion — the paired pre/post design is the field-standard, strongest form of this assay (baseline-corrected, within-subject); the between-group post-test-only comparison is the fallback for designs without a genuine pre-test phase.</w:t>
      </w:r>
    </w:p>
    <w:p>
      <w:pPr>
        <w:spacing w:after="120"/>
      </w:pPr>
      <w:r>
        <w:rPr>
          <w:b/>
          <w:i w:val="0"/>
        </w:rPr>
        <w:t>Shortcomings:</w:t>
      </w:r>
      <w:r>
        <w:rPr>
          <w:b w:val="0"/>
          <w:i w:val="0"/>
        </w:rPr>
        <w:t xml:space="preserve"> a genuine pre-test phase requires the user to structure their loaded sessions/labels so "Group by" resolves to a pre/post axis — sessions without a distinguishable pre-test phase silently degrade to the absolute/delta bar and between-group comparison only, with the paired panel simply omitted (by design, not a bug, but easy to miss if the omission isn't noticed).</w:t>
      </w:r>
    </w:p>
    <w:p>
      <w:pPr>
        <w:spacing w:after="120"/>
      </w:pPr>
      <w:r>
        <w:rPr>
          <w:b/>
          <w:i w:val="0"/>
        </w:rPr>
        <w:t>Suggestions:</w:t>
      </w:r>
      <w:r>
        <w:rPr>
          <w:b w:val="0"/>
          <w:i w:val="0"/>
        </w:rPr>
        <w:t xml:space="preserve"> use a dedicated label column (e.g. Label 2 = "Pre"/"Post") specifically for the phase axis, distinct from the experimental-group label, so both the paired comparison and the between-group comparison can be run from the same loaded session set without re-loading.</w:t>
      </w:r>
    </w:p>
    <w:p>
      <w:pPr>
        <w:pStyle w:val="Heading3"/>
        <w:spacing w:before="160" w:after="80"/>
      </w:pPr>
      <w:r>
        <w:rPr>
          <w:b/>
          <w:color w:val="1F497D"/>
          <w:sz w:val="24"/>
        </w:rPr>
        <w:t>3.7 Approach/Avoid Events</w:t>
      </w:r>
    </w:p>
    <w:p>
      <w:pPr>
        <w:spacing w:after="120"/>
      </w:pPr>
      <w:r>
        <w:rPr>
          <w:b/>
          <w:i w:val="0"/>
        </w:rPr>
        <w:t>Tracing required:</w:t>
      </w:r>
      <w:r>
        <w:rPr>
          <w:b w:val="0"/>
          <w:i w:val="0"/>
        </w:rPr>
        <w:t xml:space="preserve"> any regions/objects (no paradigm restriction — applies to all six paradigms and </w:t>
      </w:r>
      <w:r>
        <w:rPr>
          <w:rFonts w:ascii="Courier New" w:hAnsi="Courier New"/>
          <w:color w:val="C0392B"/>
          <w:sz w:val="18"/>
        </w:rPr>
        <w:t>custom</w:t>
      </w:r>
      <w:r>
        <w:rPr>
          <w:b w:val="0"/>
          <w:i w:val="0"/>
        </w:rPr>
        <w:t xml:space="preserve">); </w:t>
      </w:r>
      <w:r>
        <w:rPr>
          <w:b/>
          <w:i w:val="0"/>
        </w:rPr>
        <w:t>requires both `env_features_enabled` and `kinematic_directedness_enabled`.</w:t>
      </w:r>
    </w:p>
    <w:p>
      <w:pPr>
        <w:spacing w:after="120"/>
      </w:pPr>
      <w:r>
        <w:rPr>
          <w:b/>
          <w:i w:val="0"/>
        </w:rPr>
        <w:t>Graphs:</w:t>
      </w:r>
      <w:r>
        <w:rPr>
          <w:b w:val="0"/>
          <w:i w:val="0"/>
        </w:rPr>
        <w:t xml:space="preserve"> trajectory plot — each detected event drawn as a start→end arrow, color-coded approach (green) vs. avoid (red), against the approximate region/object outlines; event rate (events/minute, between-group); target-distribution bar chart split by classification; cluster/group cross-tabs.</w:t>
      </w:r>
    </w:p>
    <w:p>
      <w:pPr>
        <w:spacing w:after="120"/>
      </w:pPr>
      <w:r>
        <w:rPr>
          <w:b/>
          <w:i w:val="0"/>
        </w:rPr>
        <w:t>Use case:</w:t>
      </w:r>
      <w:r>
        <w:rPr>
          <w:b w:val="0"/>
          <w:i w:val="0"/>
        </w:rPr>
        <w:t xml:space="preserve"> exploratory identification of directed approach/retreat bouts toward a traced region or object, independent of which formal paradigm is in use — the only cross-paradigm sub-view in this tab.</w:t>
      </w:r>
    </w:p>
    <w:p>
      <w:pPr>
        <w:spacing w:after="120"/>
      </w:pPr>
      <w:r>
        <w:rPr>
          <w:b/>
          <w:i w:val="0"/>
        </w:rPr>
        <w:t>Shortcomings — stronger and more prominent than every other sub-view's caveat, by design:</w:t>
      </w:r>
      <w:r>
        <w:rPr>
          <w:b w:val="0"/>
          <w:i w:val="0"/>
        </w:rPr>
        <w:t xml:space="preserve"> this is a rule-based heuristic (a directed-locomotion bout, defined by straightness ratio and relative speed, immediately followed by an investigation-type bout for "approach"; a net-retreat distance change for "avoid"), </w:t>
      </w:r>
      <w:r>
        <w:rPr>
          <w:b/>
          <w:i w:val="0"/>
        </w:rPr>
        <w:t>not validated against expert human scoring</w:t>
      </w:r>
      <w:r>
        <w:rPr>
          <w:b w:val="0"/>
          <w:i w:val="0"/>
        </w:rPr>
        <w:t xml:space="preserve">. The detector has no access to a genuine investigation-state classifier and substitutes the following bout's own relative speed as a proxy. Absence of </w:t>
      </w:r>
      <w:r>
        <w:rPr>
          <w:rFonts w:ascii="Courier New" w:hAnsi="Courier New"/>
          <w:color w:val="C0392B"/>
          <w:sz w:val="18"/>
        </w:rPr>
        <w:t>approach_events.csv</w:t>
      </w:r>
      <w:r>
        <w:rPr>
          <w:b w:val="0"/>
          <w:i w:val="0"/>
        </w:rPr>
        <w:t xml:space="preserve"> for a session can mean either "the flags were off" or "it ran and found nothing" — these are not the same case, and the tab distinguishes them in its placeholder text.</w:t>
      </w:r>
    </w:p>
    <w:p>
      <w:pPr>
        <w:spacing w:after="120"/>
      </w:pPr>
      <w:r>
        <w:rPr>
          <w:b/>
          <w:i w:val="0"/>
        </w:rPr>
        <w:t>Suggestions:</w:t>
      </w:r>
      <w:r>
        <w:rPr>
          <w:b w:val="0"/>
          <w:i w:val="0"/>
        </w:rPr>
        <w:t xml:space="preserve"> treat this sub-view's output as a helpful starting point for manual review, not a confirmed behavioral classification — explicitly, do not use it as the sole evidence for a claim in a publication without independent verification against a human-scored subsample.</w:t>
      </w:r>
    </w:p>
    <w:p>
      <w:pPr>
        <w:spacing w:before="80" w:after="80"/>
        <w:pBdr>
          <w:bottom w:val="single" w:sz="6" w:space="1" w:color="CCCCCC"/>
        </w:pBdr>
      </w:pPr>
    </w:p>
    <w:p>
      <w:pPr>
        <w:pStyle w:val="Heading2"/>
        <w:spacing w:before="200" w:after="80"/>
      </w:pPr>
      <w:r>
        <w:rPr>
          <w:b/>
          <w:color w:val="2E74B5"/>
          <w:sz w:val="28"/>
        </w:rPr>
        <w:t>4. Cross-paradigm limitations</w:t>
      </w:r>
    </w:p>
    <w:p>
      <w:pPr>
        <w:spacing w:after="120"/>
      </w:pPr>
      <w:r>
        <w:rPr>
          <w:b w:val="0"/>
          <w:i w:val="0"/>
        </w:rPr>
        <w:t>These apply regardless of which sub-view is in use, and are worth stating once rather than repeating per paradigm:</w:t>
      </w:r>
    </w:p>
    <w:p>
      <w:pPr>
        <w:pStyle w:val="ListNumber"/>
      </w:pPr>
      <w:r>
        <w:rPr>
          <w:b/>
          <w:i w:val="0"/>
          <w:sz w:val="21"/>
        </w:rPr>
        <w:t>One paradigm per project.</w:t>
      </w:r>
      <w:r>
        <w:rPr>
          <w:b w:val="0"/>
          <w:i w:val="0"/>
          <w:sz w:val="21"/>
        </w:rPr>
        <w:t xml:space="preserve"> </w:t>
      </w:r>
      <w:r>
        <w:rPr>
          <w:rFonts w:ascii="Courier New" w:hAnsi="Courier New"/>
          <w:color w:val="C0392B"/>
          <w:sz w:val="18"/>
        </w:rPr>
        <w:t>env_arena_cfg</w:t>
      </w:r>
      <w:r>
        <w:rPr>
          <w:b w:val="0"/>
          <w:i w:val="0"/>
          <w:sz w:val="21"/>
        </w:rPr>
        <w:t xml:space="preserve"> is a single, project-wide configuration</w:t>
      </w:r>
    </w:p>
    <w:p>
      <w:pPr>
        <w:spacing w:after="120"/>
      </w:pPr>
      <w:r>
        <w:rPr>
          <w:b w:val="0"/>
          <w:i w:val="0"/>
        </w:rPr>
        <w:t>(</w:t>
      </w:r>
      <w:r>
        <w:rPr>
          <w:rFonts w:ascii="Courier New" w:hAnsi="Courier New"/>
          <w:color w:val="C0392B"/>
          <w:sz w:val="18"/>
        </w:rPr>
        <w:t>schema_version: 3</w:t>
      </w:r>
      <w:r>
        <w:rPr>
          <w:b w:val="0"/>
          <w:i w:val="0"/>
        </w:rPr>
        <w:t>); a batch of recordings that genuinely mixes paradigms (e.g. some Y-Maze, some Open Field, in the same load folder) needs separate CUBE projects/output directories, one per paradigm — there is no per-session paradigm override.</w:t>
      </w:r>
    </w:p>
    <w:p>
      <w:pPr>
        <w:pStyle w:val="ListNumber"/>
      </w:pPr>
      <w:r>
        <w:rPr>
          <w:b w:val="0"/>
          <w:i w:val="0"/>
          <w:sz w:val="21"/>
        </w:rPr>
        <w:t>**Occupancy heatmaps and region/object outlines are approximated from behavioral data, not measured from</w:t>
      </w:r>
    </w:p>
    <w:p>
      <w:pPr>
        <w:spacing w:after="120"/>
      </w:pPr>
      <w:r>
        <w:rPr>
          <w:b w:val="0"/>
          <w:i w:val="0"/>
        </w:rPr>
        <w:t xml:space="preserve">the traced shape directly** (§2.1) — a structural limitation of the current output schema, not a bug. Users who need the literal traced polygon should refer to </w:t>
      </w:r>
      <w:r>
        <w:rPr>
          <w:rFonts w:ascii="Courier New" w:hAnsi="Courier New"/>
          <w:color w:val="C0392B"/>
          <w:sz w:val="18"/>
        </w:rPr>
        <w:t>EnvContextWindow</w:t>
      </w:r>
      <w:r>
        <w:rPr>
          <w:b w:val="0"/>
          <w:i w:val="0"/>
        </w:rPr>
        <w:t>'s own saved template (Save/ Load Template, JSON), not this tab's rendered outline.</w:t>
      </w:r>
    </w:p>
    <w:p>
      <w:pPr>
        <w:pStyle w:val="ListNumber"/>
      </w:pPr>
      <w:r>
        <w:rPr>
          <w:b/>
          <w:i w:val="0"/>
          <w:sz w:val="21"/>
        </w:rPr>
        <w:t>Small-n statistics are typical and expected.</w:t>
      </w:r>
      <w:r>
        <w:rPr>
          <w:b w:val="0"/>
          <w:i w:val="0"/>
          <w:sz w:val="21"/>
        </w:rPr>
        <w:t xml:space="preserve"> Rodent behavioral pilot cohorts routinely run 3-8</w:t>
      </w:r>
    </w:p>
    <w:p>
      <w:pPr>
        <w:spacing w:after="120"/>
      </w:pPr>
      <w:r>
        <w:rPr>
          <w:b w:val="0"/>
          <w:i w:val="0"/>
        </w:rPr>
        <w:t>animals per group; the between-group tests here (Kruskal-Wallis, Dunn's) and one-sample tests (t-test/Wilcoxon) are chosen for their applicability at low n, but statistical power at n&lt;5 per group is genuinely limited regardless of the test — a non-significant result at this sample size should not be over-interpreted as evidence of no effect.</w:t>
      </w:r>
    </w:p>
    <w:p>
      <w:pPr>
        <w:pStyle w:val="ListNumber"/>
      </w:pPr>
      <w:r>
        <w:rPr>
          <w:b/>
          <w:i w:val="0"/>
          <w:sz w:val="21"/>
        </w:rPr>
        <w:t>Coordinate-space correctness between traced shapes and pose data is a structural guarantee</w:t>
      </w:r>
      <w:r>
        <w:rPr>
          <w:b w:val="0"/>
          <w:i w:val="0"/>
          <w:sz w:val="21"/>
        </w:rPr>
        <w:t xml:space="preserve"> (identical</w:t>
      </w:r>
    </w:p>
    <w:p>
      <w:pPr>
        <w:spacing w:after="120"/>
      </w:pPr>
      <w:r>
        <w:rPr>
          <w:b w:val="0"/>
          <w:i w:val="0"/>
        </w:rPr>
        <w:t xml:space="preserve">crop-aware pixel space, enforced by </w:t>
      </w:r>
      <w:r>
        <w:rPr>
          <w:rFonts w:ascii="Courier New" w:hAnsi="Courier New"/>
          <w:color w:val="C0392B"/>
          <w:sz w:val="18"/>
        </w:rPr>
        <w:t>EnvContextWindow</w:t>
      </w:r>
      <w:r>
        <w:rPr>
          <w:b w:val="0"/>
          <w:i w:val="0"/>
        </w:rPr>
        <w:t xml:space="preserve"> always reading frames through the same crop rectangle DLC tracked on), not a runtime-checked one — see </w:t>
      </w:r>
      <w:r>
        <w:rPr>
          <w:rFonts w:ascii="Courier New" w:hAnsi="Courier New"/>
          <w:color w:val="C0392B"/>
          <w:sz w:val="18"/>
        </w:rPr>
        <w:t>Environmental_Context_v6_Implementation_Report.md</w:t>
      </w:r>
      <w:r>
        <w:rPr>
          <w:b w:val="0"/>
          <w:i w:val="0"/>
        </w:rPr>
        <w:t>'s "Coordinate-space correctness" section for the full rationale. A user who manually alters video crop settings between tracing and running the pipeline is outside this guarantee.</w:t>
      </w:r>
    </w:p>
    <w:p>
      <w:pPr>
        <w:pStyle w:val="ListNumber"/>
      </w:pPr>
      <w:r>
        <w:rPr>
          <w:b/>
          <w:i w:val="0"/>
          <w:sz w:val="21"/>
        </w:rPr>
        <w:t>No object-movement tracking.</w:t>
      </w:r>
      <w:r>
        <w:rPr>
          <w:b w:val="0"/>
          <w:i w:val="0"/>
          <w:sz w:val="21"/>
        </w:rPr>
        <w:t xml:space="preserve"> All traced objects are assumed static for the duration of a session</w:t>
      </w:r>
    </w:p>
    <w:p>
      <w:pPr>
        <w:spacing w:after="120"/>
      </w:pPr>
      <w:r>
        <w:rPr>
          <w:b w:val="0"/>
          <w:i w:val="0"/>
        </w:rPr>
        <w:t xml:space="preserve">(per-video transform/override handles a </w:t>
      </w:r>
      <w:r>
        <w:rPr>
          <w:b w:val="0"/>
          <w:i/>
        </w:rPr>
        <w:t>repositioned-between-sessions</w:t>
      </w:r>
      <w:r>
        <w:rPr>
          <w:b w:val="0"/>
          <w:i w:val="0"/>
        </w:rPr>
        <w:t xml:space="preserve"> object, not one that moves </w:t>
      </w:r>
      <w:r>
        <w:rPr>
          <w:b w:val="0"/>
          <w:i/>
        </w:rPr>
        <w:t>during</w:t>
      </w:r>
      <w:r>
        <w:rPr>
          <w:b w:val="0"/>
          <w:i w:val="0"/>
        </w:rPr>
        <w:t xml:space="preserve"> a session) — deferred (Option B, per </w:t>
      </w:r>
      <w:r>
        <w:rPr>
          <w:rFonts w:ascii="Courier New" w:hAnsi="Courier New"/>
          <w:color w:val="C0392B"/>
          <w:sz w:val="18"/>
        </w:rPr>
        <w:t>Environmental_Context_v6_Implementation_Plan.md</w:t>
      </w:r>
      <w:r>
        <w:rPr>
          <w:b w:val="0"/>
          <w:i w:val="0"/>
        </w:rPr>
        <w:t>'s explicitly out-of-scope list).</w:t>
      </w:r>
    </w:p>
    <w:p>
      <w:pPr>
        <w:pStyle w:val="ListNumber"/>
      </w:pPr>
      <w:r>
        <w:rPr>
          <w:b/>
          <w:i w:val="0"/>
          <w:sz w:val="21"/>
        </w:rPr>
        <w:t>No multi-animal/social-interaction geometry beyond static object proxies.</w:t>
      </w:r>
      <w:r>
        <w:rPr>
          <w:b w:val="0"/>
          <w:i w:val="0"/>
          <w:sz w:val="21"/>
        </w:rPr>
        <w:t xml:space="preserve"> The Three-Chamber</w:t>
      </w:r>
    </w:p>
    <w:p>
      <w:pPr>
        <w:spacing w:after="120"/>
      </w:pPr>
      <w:r>
        <w:rPr>
          <w:b w:val="0"/>
          <w:i w:val="0"/>
        </w:rPr>
        <w:t xml:space="preserve">paradigm's "stranger" role is a static object/cup, not a second tracked animal — CUBE has no dyadic/multi-animal pose tracking (see </w:t>
      </w:r>
      <w:r>
        <w:rPr>
          <w:rFonts w:ascii="Courier New" w:hAnsi="Courier New"/>
          <w:color w:val="C0392B"/>
          <w:sz w:val="18"/>
        </w:rPr>
        <w:t>Competitive_Positioning_and_Publication_Pathway.md</w:t>
      </w:r>
      <w:r>
        <w:rPr>
          <w:b w:val="0"/>
          <w:i w:val="0"/>
        </w:rPr>
        <w:t xml:space="preserve"> for how this compares to MARS's dedicated social-interaction focus).</w:t>
      </w:r>
    </w:p>
    <w:p>
      <w:pPr>
        <w:pStyle w:val="ListNumber"/>
      </w:pPr>
      <w:r>
        <w:rPr>
          <w:b/>
          <w:i w:val="0"/>
          <w:sz w:val="21"/>
        </w:rPr>
        <w:t>Nose-point tracking reaches region boundaries only through the new, narrow additions above</w:t>
      </w:r>
      <w:r>
        <w:rPr>
          <w:b w:val="0"/>
          <w:i w:val="0"/>
          <w:sz w:val="21"/>
        </w:rPr>
        <w:t xml:space="preserve"> (EPM's</w:t>
      </w:r>
    </w:p>
    <w:p>
      <w:pPr>
        <w:spacing w:after="120"/>
      </w:pPr>
      <w:r>
        <w:rPr>
          <w:b w:val="0"/>
          <w:i w:val="0"/>
        </w:rPr>
        <w:t xml:space="preserve">head-dip proxy, </w:t>
      </w:r>
      <w:r>
        <w:rPr>
          <w:rFonts w:ascii="Courier New" w:hAnsi="Courier New"/>
          <w:color w:val="C0392B"/>
          <w:sz w:val="18"/>
        </w:rPr>
        <w:t>dist_to_region_boundary_nose</w:t>
      </w:r>
      <w:r>
        <w:rPr>
          <w:b w:val="0"/>
          <w:i w:val="0"/>
        </w:rPr>
        <w:t xml:space="preserve">) — region/arm </w:t>
      </w:r>
      <w:r>
        <w:rPr>
          <w:b w:val="0"/>
          <w:i/>
        </w:rPr>
        <w:t>occupancy</w:t>
      </w:r>
      <w:r>
        <w:rPr>
          <w:b w:val="0"/>
          <w:i w:val="0"/>
        </w:rPr>
        <w:t xml:space="preserve"> itself (which region "counts" as the animal's location, feeding alternation %, time-in-region, entries) remains centroid-based throughout, unchanged by this pass. Only object interaction (discrimination index, sociability index, exploration bout timing) was ever nose-based. Don't read the new EPM head-dip bar as evidence that region membership generally became nose-aware — it didn't.</w:t>
      </w:r>
    </w:p>
    <w:p>
      <w:pPr>
        <w:pStyle w:val="ListNumber"/>
      </w:pPr>
      <w:r>
        <w:rPr>
          <w:b/>
          <w:i w:val="0"/>
          <w:sz w:val="21"/>
        </w:rPr>
        <w:t>Three-Chamber has no chamber-occupancy time-course</w:t>
      </w:r>
      <w:r>
        <w:rPr>
          <w:b w:val="0"/>
          <w:i w:val="0"/>
          <w:sz w:val="21"/>
        </w:rPr>
        <w:t xml:space="preserve"> (§3.5) — a direct consequence of its role</w:t>
      </w:r>
    </w:p>
    <w:p>
      <w:pPr>
        <w:spacing w:after="120"/>
      </w:pPr>
      <w:r>
        <w:rPr>
          <w:b w:val="0"/>
          <w:i w:val="0"/>
        </w:rPr>
        <w:t>vocabulary living on objects, not regions. This is a data-model constraint discovered while building the time-course plots, not an oversight; the nose-to-stranger investigation-distance time-course is the literature-relevant substitute this paradigm's data actually supports.</w:t>
      </w:r>
    </w:p>
    <w:p>
      <w:pPr>
        <w:spacing w:before="80" w:after="80"/>
        <w:pBdr>
          <w:bottom w:val="single" w:sz="6" w:space="1" w:color="CCCCCC"/>
        </w:pBdr>
      </w:pPr>
    </w:p>
    <w:p>
      <w:pPr>
        <w:pStyle w:val="Heading2"/>
        <w:spacing w:before="200" w:after="80"/>
      </w:pPr>
      <w:r>
        <w:rPr>
          <w:b/>
          <w:color w:val="2E74B5"/>
          <w:sz w:val="28"/>
        </w:rPr>
        <w:t>5. Reference tables</w:t>
      </w:r>
    </w:p>
    <w:p>
      <w:pPr>
        <w:pStyle w:val="Heading3"/>
        <w:spacing w:before="160" w:after="80"/>
      </w:pPr>
      <w:r>
        <w:rPr>
          <w:b/>
          <w:color w:val="1F497D"/>
          <w:sz w:val="24"/>
        </w:rPr>
        <w:t>5.1 Paradigm → required roles → minimum count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Paradigm</w:t>
            </w:r>
          </w:p>
        </w:tc>
        <w:tc>
          <w:tcPr>
            <w:tcW w:type="dxa" w:w="1872"/>
            <w:shd w:fill="2E74B5" w:val="clear"/>
          </w:tcPr>
          <w:p>
            <w:pPr>
              <w:spacing w:before="40" w:after="40"/>
            </w:pPr>
            <w:r>
              <w:rPr>
                <w:b/>
                <w:i w:val="0"/>
                <w:color w:val="FFFFFF"/>
                <w:sz w:val="19"/>
              </w:rPr>
              <w:t>Regions/objects</w:t>
            </w:r>
          </w:p>
        </w:tc>
        <w:tc>
          <w:tcPr>
            <w:tcW w:type="dxa" w:w="1872"/>
            <w:shd w:fill="2E74B5" w:val="clear"/>
          </w:tcPr>
          <w:p>
            <w:pPr>
              <w:spacing w:before="40" w:after="40"/>
            </w:pPr>
            <w:r>
              <w:rPr>
                <w:b/>
                <w:i w:val="0"/>
                <w:color w:val="FFFFFF"/>
                <w:sz w:val="19"/>
              </w:rPr>
              <w:t>Required role</w:t>
            </w:r>
          </w:p>
        </w:tc>
        <w:tc>
          <w:tcPr>
            <w:tcW w:type="dxa" w:w="1872"/>
            <w:shd w:fill="2E74B5" w:val="clear"/>
          </w:tcPr>
          <w:p>
            <w:pPr>
              <w:spacing w:before="40" w:after="40"/>
            </w:pPr>
            <w:r>
              <w:rPr>
                <w:b/>
                <w:i w:val="0"/>
                <w:color w:val="FFFFFF"/>
                <w:sz w:val="19"/>
              </w:rPr>
              <w:t>Minimum count</w:t>
            </w:r>
          </w:p>
        </w:tc>
        <w:tc>
          <w:tcPr>
            <w:tcW w:type="dxa" w:w="1872"/>
            <w:shd w:fill="2E74B5" w:val="clear"/>
          </w:tcPr>
          <w:p>
            <w:pPr>
              <w:spacing w:before="40" w:after="40"/>
            </w:pPr>
            <w:r>
              <w:rPr>
                <w:b/>
                <w:i w:val="0"/>
                <w:color w:val="FFFFFF"/>
                <w:sz w:val="19"/>
              </w:rPr>
              <w:t>Derived metric(s) gated on this</w:t>
            </w:r>
          </w:p>
        </w:tc>
      </w:tr>
      <w:tr>
        <w:tc>
          <w:tcPr>
            <w:tcW w:type="dxa" w:w="1872"/>
          </w:tcPr>
          <w:p>
            <w:pPr>
              <w:spacing w:before="40" w:after="40"/>
            </w:pPr>
            <w:r>
              <w:rPr>
                <w:rFonts w:ascii="Courier New" w:hAnsi="Courier New"/>
                <w:color w:val="C0392B"/>
                <w:sz w:val="18"/>
              </w:rPr>
              <w:t>y_maze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arm</w:t>
            </w:r>
          </w:p>
        </w:tc>
        <w:tc>
          <w:tcPr>
            <w:tcW w:type="dxa" w:w="1872"/>
          </w:tcPr>
          <w:p>
            <w:pPr>
              <w:spacing w:before="40" w:after="40"/>
            </w:pPr>
            <w:r>
              <w:rPr>
                <w:b w:val="0"/>
                <w:i w:val="0"/>
                <w:sz w:val="19"/>
              </w:rPr>
              <w:t>3</w:t>
            </w:r>
          </w:p>
        </w:tc>
        <w:tc>
          <w:tcPr>
            <w:tcW w:type="dxa" w:w="1872"/>
          </w:tcPr>
          <w:p>
            <w:pPr>
              <w:spacing w:before="40" w:after="40"/>
            </w:pPr>
            <w:r>
              <w:rPr>
                <w:rFonts w:ascii="Courier New" w:hAnsi="Courier New"/>
                <w:color w:val="C0392B"/>
                <w:sz w:val="18"/>
              </w:rPr>
              <w:t>spontaneous_alternation_pct</w:t>
            </w:r>
            <w:r>
              <w:rPr>
                <w:b w:val="0"/>
                <w:i w:val="0"/>
                <w:sz w:val="19"/>
              </w:rPr>
              <w:t xml:space="preserve">, </w:t>
            </w:r>
            <w:r>
              <w:rPr>
                <w:rFonts w:ascii="Courier New" w:hAnsi="Courier New"/>
                <w:color w:val="C0392B"/>
                <w:sz w:val="18"/>
              </w:rPr>
              <w:t>n_arm_entries</w:t>
            </w:r>
          </w:p>
        </w:tc>
      </w:tr>
      <w:tr>
        <w:tc>
          <w:tcPr>
            <w:tcW w:type="dxa" w:w="1872"/>
            <w:shd w:fill="EEF3FA" w:val="clear"/>
          </w:tcPr>
          <w:p>
            <w:pPr>
              <w:spacing w:before="40" w:after="40"/>
            </w:pPr>
            <w:r>
              <w:rPr>
                <w:rFonts w:ascii="Courier New" w:hAnsi="Courier New"/>
                <w:color w:val="C0392B"/>
                <w:sz w:val="18"/>
              </w:rPr>
              <w:t>elevated_plus_maze</w:t>
            </w:r>
          </w:p>
        </w:tc>
        <w:tc>
          <w:tcPr>
            <w:tcW w:type="dxa" w:w="1872"/>
            <w:shd w:fill="EEF3FA" w:val="clear"/>
          </w:tcPr>
          <w:p>
            <w:pPr>
              <w:spacing w:before="40" w:after="40"/>
            </w:pPr>
            <w:r>
              <w:rPr>
                <w:b w:val="0"/>
                <w:i w:val="0"/>
                <w:sz w:val="19"/>
              </w:rPr>
              <w:t>regions</w:t>
            </w:r>
          </w:p>
        </w:tc>
        <w:tc>
          <w:tcPr>
            <w:tcW w:type="dxa" w:w="1872"/>
            <w:shd w:fill="EEF3FA" w:val="clear"/>
          </w:tcPr>
          <w:p>
            <w:pPr>
              <w:spacing w:before="40" w:after="40"/>
            </w:pPr>
            <w:r>
              <w:rPr>
                <w:rFonts w:ascii="Courier New" w:hAnsi="Courier New"/>
                <w:color w:val="C0392B"/>
                <w:sz w:val="18"/>
              </w:rPr>
              <w:t>open_arm</w:t>
            </w:r>
            <w:r>
              <w:rPr>
                <w:b w:val="0"/>
                <w:i w:val="0"/>
                <w:sz w:val="19"/>
              </w:rPr>
              <w:t xml:space="preserve"> + </w:t>
            </w:r>
            <w:r>
              <w:rPr>
                <w:rFonts w:ascii="Courier New" w:hAnsi="Courier New"/>
                <w:color w:val="C0392B"/>
                <w:sz w:val="18"/>
              </w:rPr>
              <w:t>closed_arm</w:t>
            </w:r>
          </w:p>
        </w:tc>
        <w:tc>
          <w:tcPr>
            <w:tcW w:type="dxa" w:w="1872"/>
            <w:shd w:fill="EEF3FA" w:val="clear"/>
          </w:tcPr>
          <w:p>
            <w:pPr>
              <w:spacing w:before="40" w:after="40"/>
            </w:pPr>
            <w:r>
              <w:rPr>
                <w:b w:val="0"/>
                <w:i w:val="0"/>
                <w:sz w:val="19"/>
              </w:rPr>
              <w:t>1 + 1</w:t>
            </w:r>
          </w:p>
        </w:tc>
        <w:tc>
          <w:tcPr>
            <w:tcW w:type="dxa" w:w="1872"/>
            <w:shd w:fill="EEF3FA" w:val="clear"/>
          </w:tcPr>
          <w:p>
            <w:pPr>
              <w:spacing w:before="40" w:after="40"/>
            </w:pPr>
            <w:r>
              <w:rPr>
                <w:rFonts w:ascii="Courier New" w:hAnsi="Courier New"/>
                <w:color w:val="C0392B"/>
                <w:sz w:val="18"/>
              </w:rPr>
              <w:t>pct_time_open_arms</w:t>
            </w:r>
            <w:r>
              <w:rPr>
                <w:b w:val="0"/>
                <w:i w:val="0"/>
                <w:sz w:val="19"/>
              </w:rPr>
              <w:t xml:space="preserve">, </w:t>
            </w:r>
            <w:r>
              <w:rPr>
                <w:rFonts w:ascii="Courier New" w:hAnsi="Courier New"/>
                <w:color w:val="C0392B"/>
                <w:sz w:val="18"/>
              </w:rPr>
              <w:t>pct_open_arm_entries</w:t>
            </w:r>
            <w:r>
              <w:rPr>
                <w:b w:val="0"/>
                <w:i w:val="0"/>
                <w:sz w:val="19"/>
              </w:rPr>
              <w:t xml:space="preserve">, </w:t>
            </w:r>
            <w:r>
              <w:rPr>
                <w:rFonts w:ascii="Courier New" w:hAnsi="Courier New"/>
                <w:color w:val="C0392B"/>
                <w:sz w:val="18"/>
              </w:rPr>
              <w:t>latency_to_first_open_arm_entry_sec</w:t>
            </w:r>
          </w:p>
        </w:tc>
      </w:tr>
      <w:tr>
        <w:tc>
          <w:tcPr>
            <w:tcW w:type="dxa" w:w="1872"/>
          </w:tcPr>
          <w:p>
            <w:pPr>
              <w:spacing w:before="40" w:after="40"/>
            </w:pPr>
            <w:r>
              <w:rPr>
                <w:rFonts w:ascii="Courier New" w:hAnsi="Courier New"/>
                <w:color w:val="C0392B"/>
                <w:sz w:val="18"/>
              </w:rPr>
              <w:t>novel_object</w:t>
            </w:r>
          </w:p>
        </w:tc>
        <w:tc>
          <w:tcPr>
            <w:tcW w:type="dxa" w:w="1872"/>
          </w:tcPr>
          <w:p>
            <w:pPr>
              <w:spacing w:before="40" w:after="40"/>
            </w:pPr>
            <w:r>
              <w:rPr>
                <w:b w:val="0"/>
                <w:i w:val="0"/>
                <w:sz w:val="19"/>
              </w:rPr>
              <w:t>objects</w:t>
            </w:r>
          </w:p>
        </w:tc>
        <w:tc>
          <w:tcPr>
            <w:tcW w:type="dxa" w:w="1872"/>
          </w:tcPr>
          <w:p>
            <w:pPr>
              <w:spacing w:before="40" w:after="40"/>
            </w:pPr>
            <w:r>
              <w:rPr>
                <w:rFonts w:ascii="Courier New" w:hAnsi="Courier New"/>
                <w:color w:val="C0392B"/>
                <w:sz w:val="18"/>
              </w:rPr>
              <w:t>novel</w:t>
            </w:r>
            <w:r>
              <w:rPr>
                <w:b w:val="0"/>
                <w:i w:val="0"/>
                <w:sz w:val="19"/>
              </w:rPr>
              <w:t xml:space="preserve"> + </w:t>
            </w:r>
            <w:r>
              <w:rPr>
                <w:rFonts w:ascii="Courier New" w:hAnsi="Courier New"/>
                <w:color w:val="C0392B"/>
                <w:sz w:val="18"/>
              </w:rPr>
              <w:t>familiar</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discrimination_index</w:t>
            </w:r>
          </w:p>
        </w:tc>
      </w:tr>
      <w:tr>
        <w:tc>
          <w:tcPr>
            <w:tcW w:type="dxa" w:w="1872"/>
            <w:shd w:fill="EEF3FA" w:val="clear"/>
          </w:tcPr>
          <w:p>
            <w:pPr>
              <w:spacing w:before="40" w:after="40"/>
            </w:pPr>
            <w:r>
              <w:rPr>
                <w:rFonts w:ascii="Courier New" w:hAnsi="Courier New"/>
                <w:color w:val="C0392B"/>
                <w:sz w:val="18"/>
              </w:rPr>
              <w:t>three_chamber</w:t>
            </w:r>
          </w:p>
        </w:tc>
        <w:tc>
          <w:tcPr>
            <w:tcW w:type="dxa" w:w="1872"/>
            <w:shd w:fill="EEF3FA" w:val="clear"/>
          </w:tcPr>
          <w:p>
            <w:pPr>
              <w:spacing w:before="40" w:after="40"/>
            </w:pPr>
            <w:r>
              <w:rPr>
                <w:b w:val="0"/>
                <w:i w:val="0"/>
                <w:sz w:val="19"/>
              </w:rPr>
              <w:t>objects</w:t>
            </w:r>
          </w:p>
        </w:tc>
        <w:tc>
          <w:tcPr>
            <w:tcW w:type="dxa" w:w="1872"/>
            <w:shd w:fill="EEF3FA" w:val="clear"/>
          </w:tcPr>
          <w:p>
            <w:pPr>
              <w:spacing w:before="40" w:after="40"/>
            </w:pPr>
            <w:r>
              <w:rPr>
                <w:rFonts w:ascii="Courier New" w:hAnsi="Courier New"/>
                <w:color w:val="C0392B"/>
                <w:sz w:val="18"/>
              </w:rPr>
              <w:t>stranger</w:t>
            </w:r>
            <w:r>
              <w:rPr>
                <w:b w:val="0"/>
                <w:i w:val="0"/>
                <w:sz w:val="19"/>
              </w:rPr>
              <w:t xml:space="preserve"> + </w:t>
            </w:r>
            <w:r>
              <w:rPr>
                <w:rFonts w:ascii="Courier New" w:hAnsi="Courier New"/>
                <w:color w:val="C0392B"/>
                <w:sz w:val="18"/>
              </w:rPr>
              <w:t>empty</w:t>
            </w:r>
            <w:r>
              <w:rPr>
                <w:b w:val="0"/>
                <w:i w:val="0"/>
                <w:sz w:val="19"/>
              </w:rPr>
              <w:t xml:space="preserve"> (Phase 1); </w:t>
            </w:r>
            <w:r>
              <w:rPr>
                <w:rFonts w:ascii="Courier New" w:hAnsi="Courier New"/>
                <w:color w:val="C0392B"/>
                <w:sz w:val="18"/>
              </w:rPr>
              <w:t>stranger</w:t>
            </w:r>
            <w:r>
              <w:rPr>
                <w:b w:val="0"/>
                <w:i w:val="0"/>
                <w:sz w:val="19"/>
              </w:rPr>
              <w:t xml:space="preserve"> + </w:t>
            </w:r>
            <w:r>
              <w:rPr>
                <w:rFonts w:ascii="Courier New" w:hAnsi="Courier New"/>
                <w:color w:val="C0392B"/>
                <w:sz w:val="18"/>
              </w:rPr>
              <w:t>novel_stranger</w:t>
            </w:r>
            <w:r>
              <w:rPr>
                <w:b w:val="0"/>
                <w:i w:val="0"/>
                <w:sz w:val="19"/>
              </w:rPr>
              <w:t xml:space="preserve"> (Phase 2)</w:t>
            </w:r>
          </w:p>
        </w:tc>
        <w:tc>
          <w:tcPr>
            <w:tcW w:type="dxa" w:w="1872"/>
            <w:shd w:fill="EEF3FA" w:val="clear"/>
          </w:tcPr>
          <w:p>
            <w:pPr>
              <w:spacing w:before="40" w:after="40"/>
            </w:pPr>
            <w:r>
              <w:rPr>
                <w:b w:val="0"/>
                <w:i w:val="0"/>
                <w:sz w:val="19"/>
              </w:rPr>
              <w:t>1 + 1 each</w:t>
            </w:r>
          </w:p>
        </w:tc>
        <w:tc>
          <w:tcPr>
            <w:tcW w:type="dxa" w:w="1872"/>
            <w:shd w:fill="EEF3FA" w:val="clear"/>
          </w:tcPr>
          <w:p>
            <w:pPr>
              <w:spacing w:before="40" w:after="40"/>
            </w:pPr>
            <w:r>
              <w:rPr>
                <w:rFonts w:ascii="Courier New" w:hAnsi="Courier New"/>
                <w:color w:val="C0392B"/>
                <w:sz w:val="18"/>
              </w:rPr>
              <w:t>sociability_index</w:t>
            </w:r>
            <w:r>
              <w:rPr>
                <w:b w:val="0"/>
                <w:i w:val="0"/>
                <w:sz w:val="19"/>
              </w:rPr>
              <w:t xml:space="preserve">, </w:t>
            </w:r>
            <w:r>
              <w:rPr>
                <w:rFonts w:ascii="Courier New" w:hAnsi="Courier New"/>
                <w:color w:val="C0392B"/>
                <w:sz w:val="18"/>
              </w:rPr>
              <w:t>social_novelty_index</w:t>
            </w:r>
          </w:p>
        </w:tc>
      </w:tr>
      <w:tr>
        <w:tc>
          <w:tcPr>
            <w:tcW w:type="dxa" w:w="1872"/>
          </w:tcPr>
          <w:p>
            <w:pPr>
              <w:spacing w:before="40" w:after="40"/>
            </w:pPr>
            <w:r>
              <w:rPr>
                <w:rFonts w:ascii="Courier New" w:hAnsi="Courier New"/>
                <w:color w:val="C0392B"/>
                <w:sz w:val="18"/>
              </w:rPr>
              <w:t>place_preference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paired</w:t>
            </w:r>
            <w:r>
              <w:rPr>
                <w:b w:val="0"/>
                <w:i w:val="0"/>
                <w:sz w:val="19"/>
              </w:rPr>
              <w:t xml:space="preserve"> + </w:t>
            </w:r>
            <w:r>
              <w:rPr>
                <w:rFonts w:ascii="Courier New" w:hAnsi="Courier New"/>
                <w:color w:val="C0392B"/>
                <w:sz w:val="18"/>
              </w:rPr>
              <w:t>unpaired</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preference_index</w:t>
            </w:r>
          </w:p>
        </w:tc>
      </w:tr>
      <w:tr>
        <w:tc>
          <w:tcPr>
            <w:tcW w:type="dxa" w:w="1872"/>
            <w:shd w:fill="EEF3FA" w:val="clear"/>
          </w:tcPr>
          <w:p>
            <w:pPr>
              <w:spacing w:before="40" w:after="40"/>
            </w:pPr>
            <w:r>
              <w:rPr>
                <w:rFonts w:ascii="Courier New" w:hAnsi="Courier New"/>
                <w:color w:val="C0392B"/>
                <w:sz w:val="18"/>
              </w:rPr>
              <w:t>open_field</w:t>
            </w:r>
            <w:r>
              <w:rPr>
                <w:b w:val="0"/>
                <w:i w:val="0"/>
                <w:sz w:val="19"/>
              </w:rPr>
              <w:t xml:space="preserve">, </w:t>
            </w:r>
            <w:r>
              <w:rPr>
                <w:rFonts w:ascii="Courier New" w:hAnsi="Courier New"/>
                <w:color w:val="C0392B"/>
                <w:sz w:val="18"/>
              </w:rPr>
              <w:t>custom</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 (Generic view only)</w:t>
            </w:r>
          </w:p>
        </w:tc>
      </w:tr>
    </w:tbl>
    <w:p/>
    <w:p>
      <w:pPr>
        <w:spacing w:after="120"/>
      </w:pPr>
      <w:r>
        <w:rPr>
          <w:b w:val="0"/>
          <w:i w:val="0"/>
        </w:rPr>
        <w:t xml:space="preserve">Below the minimum count, the derived metric is </w:t>
      </w:r>
      <w:r>
        <w:rPr>
          <w:b/>
          <w:i w:val="0"/>
        </w:rPr>
        <w:t>silently omitted</w:t>
      </w:r>
      <w:r>
        <w:rPr>
          <w:b w:val="0"/>
          <w:i w:val="0"/>
        </w:rPr>
        <w:t xml:space="preserve"> from </w:t>
      </w:r>
      <w:r>
        <w:rPr>
          <w:rFonts w:ascii="Courier New" w:hAnsi="Courier New"/>
          <w:color w:val="C0392B"/>
          <w:sz w:val="18"/>
        </w:rPr>
        <w:t>session_env_context.json</w:t>
      </w:r>
      <w:r>
        <w:rPr>
          <w:b w:val="0"/>
          <w:i w:val="0"/>
        </w:rPr>
        <w:t xml:space="preserve">'s </w:t>
      </w:r>
      <w:r>
        <w:rPr>
          <w:rFonts w:ascii="Courier New" w:hAnsi="Courier New"/>
          <w:color w:val="C0392B"/>
          <w:sz w:val="18"/>
        </w:rPr>
        <w:t>derived</w:t>
      </w:r>
      <w:r>
        <w:rPr>
          <w:b w:val="0"/>
          <w:i w:val="0"/>
        </w:rPr>
        <w:t xml:space="preserve"> dict (not computed as a meaningless/zero value) — the corresponding sub-view bar simply doesn't render for that session rather than showing a misleading number.</w:t>
      </w:r>
    </w:p>
    <w:p>
      <w:pPr>
        <w:pStyle w:val="Heading3"/>
        <w:spacing w:before="160" w:after="80"/>
      </w:pPr>
      <w:r>
        <w:rPr>
          <w:b/>
          <w:color w:val="1F497D"/>
          <w:sz w:val="24"/>
        </w:rPr>
        <w:t>5.2 File → sub-view dependency</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Output file</w:t>
            </w:r>
          </w:p>
        </w:tc>
        <w:tc>
          <w:tcPr>
            <w:tcW w:type="dxa" w:w="3120"/>
            <w:shd w:fill="2E74B5" w:val="clear"/>
          </w:tcPr>
          <w:p>
            <w:pPr>
              <w:spacing w:before="40" w:after="40"/>
            </w:pPr>
            <w:r>
              <w:rPr>
                <w:b/>
                <w:i w:val="0"/>
                <w:color w:val="FFFFFF"/>
                <w:sz w:val="19"/>
              </w:rPr>
              <w:t>Written when</w:t>
            </w:r>
          </w:p>
        </w:tc>
        <w:tc>
          <w:tcPr>
            <w:tcW w:type="dxa" w:w="3120"/>
            <w:shd w:fill="2E74B5" w:val="clear"/>
          </w:tcPr>
          <w:p>
            <w:pPr>
              <w:spacing w:before="40" w:after="40"/>
            </w:pPr>
            <w:r>
              <w:rPr>
                <w:b/>
                <w:i w:val="0"/>
                <w:color w:val="FFFFFF"/>
                <w:sz w:val="19"/>
              </w:rPr>
              <w:t>Consumed by</w:t>
            </w:r>
          </w:p>
        </w:tc>
      </w:tr>
      <w:tr>
        <w:tc>
          <w:tcPr>
            <w:tcW w:type="dxa" w:w="3120"/>
          </w:tcPr>
          <w:p>
            <w:pPr>
              <w:spacing w:before="40" w:after="40"/>
            </w:pPr>
            <w:r>
              <w:rPr>
                <w:rFonts w:ascii="Courier New" w:hAnsi="Courier New"/>
                <w:color w:val="C0392B"/>
                <w:sz w:val="18"/>
              </w:rPr>
              <w:t>model/session_env_context.json</w:t>
            </w:r>
          </w:p>
        </w:tc>
        <w:tc>
          <w:tcPr>
            <w:tcW w:type="dxa" w:w="3120"/>
          </w:tcPr>
          <w:p>
            <w:pPr>
              <w:spacing w:before="40" w:after="40"/>
            </w:pPr>
            <w:r>
              <w:rPr>
                <w:rFonts w:ascii="Courier New" w:hAnsi="Courier New"/>
                <w:color w:val="C0392B"/>
                <w:sz w:val="18"/>
              </w:rPr>
              <w:t>env_features_enabled=True</w:t>
            </w:r>
            <w:r>
              <w:rPr>
                <w:b w:val="0"/>
                <w:i w:val="0"/>
                <w:sz w:val="19"/>
              </w:rPr>
              <w:t>, any run</w:t>
            </w:r>
          </w:p>
        </w:tc>
        <w:tc>
          <w:tcPr>
            <w:tcW w:type="dxa" w:w="3120"/>
          </w:tcPr>
          <w:p>
            <w:pPr>
              <w:spacing w:before="40" w:after="40"/>
            </w:pPr>
            <w:r>
              <w:rPr>
                <w:b w:val="0"/>
                <w:i w:val="0"/>
                <w:sz w:val="19"/>
              </w:rPr>
              <w:t>Occupancy heatmaps, all derived-metric bars, region-time controls</w:t>
            </w:r>
          </w:p>
        </w:tc>
      </w:tr>
      <w:tr>
        <w:tc>
          <w:tcPr>
            <w:tcW w:type="dxa" w:w="3120"/>
            <w:shd w:fill="EEF3FA" w:val="clear"/>
          </w:tcPr>
          <w:p>
            <w:pPr>
              <w:spacing w:before="40" w:after="40"/>
            </w:pPr>
            <w:r>
              <w:rPr>
                <w:rFonts w:ascii="Courier New" w:hAnsi="Courier New"/>
                <w:color w:val="C0392B"/>
                <w:sz w:val="18"/>
              </w:rPr>
              <w:t>*_bout_lengths_hmm_enriched.csv</w:t>
            </w:r>
          </w:p>
        </w:tc>
        <w:tc>
          <w:tcPr>
            <w:tcW w:type="dxa" w:w="3120"/>
            <w:shd w:fill="EEF3FA" w:val="clear"/>
          </w:tcPr>
          <w:p>
            <w:pPr>
              <w:spacing w:before="40" w:after="40"/>
            </w:pPr>
            <w:r>
              <w:rPr>
                <w:rFonts w:ascii="Courier New" w:hAnsi="Courier New"/>
                <w:color w:val="C0392B"/>
                <w:sz w:val="18"/>
              </w:rPr>
              <w:t>env_features_enabled</w:t>
            </w:r>
            <w:r>
              <w:rPr>
                <w:b w:val="0"/>
                <w:i w:val="0"/>
                <w:sz w:val="19"/>
              </w:rPr>
              <w:t xml:space="preserve"> and/or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Region/group cross-tabs (</w:t>
            </w:r>
            <w:r>
              <w:rPr>
                <w:rFonts w:ascii="Courier New" w:hAnsi="Courier New"/>
                <w:color w:val="C0392B"/>
                <w:sz w:val="18"/>
              </w:rPr>
              <w:t>pct_time_in_region_*</w:t>
            </w:r>
            <w:r>
              <w:rPr>
                <w:b w:val="0"/>
                <w:i w:val="0"/>
                <w:sz w:val="19"/>
              </w:rPr>
              <w:t>), distance-traveled control (</w:t>
            </w:r>
            <w:r>
              <w:rPr>
                <w:rFonts w:ascii="Courier New" w:hAnsi="Courier New"/>
                <w:color w:val="C0392B"/>
                <w:sz w:val="18"/>
              </w:rPr>
              <w:t>path_length_px</w:t>
            </w:r>
            <w:r>
              <w:rPr>
                <w:b w:val="0"/>
                <w:i w:val="0"/>
                <w:sz w:val="19"/>
              </w:rPr>
              <w:t>)</w:t>
            </w:r>
          </w:p>
        </w:tc>
      </w:tr>
      <w:tr>
        <w:tc>
          <w:tcPr>
            <w:tcW w:type="dxa" w:w="3120"/>
          </w:tcPr>
          <w:p>
            <w:pPr>
              <w:spacing w:before="40" w:after="40"/>
            </w:pPr>
            <w:r>
              <w:rPr>
                <w:rFonts w:ascii="Courier New" w:hAnsi="Courier New"/>
                <w:color w:val="C0392B"/>
                <w:sz w:val="18"/>
              </w:rPr>
              <w:t>*_approach_events.csv</w:t>
            </w:r>
          </w:p>
        </w:tc>
        <w:tc>
          <w:tcPr>
            <w:tcW w:type="dxa" w:w="3120"/>
          </w:tcPr>
          <w:p>
            <w:pPr>
              <w:spacing w:before="40" w:after="40"/>
            </w:pPr>
            <w:r>
              <w:rPr>
                <w:b w:val="0"/>
                <w:i w:val="0"/>
                <w:sz w:val="19"/>
              </w:rPr>
              <w:t>Both flags on, ≥1 event detected</w:t>
            </w:r>
          </w:p>
        </w:tc>
        <w:tc>
          <w:tcPr>
            <w:tcW w:type="dxa" w:w="3120"/>
          </w:tcPr>
          <w:p>
            <w:pPr>
              <w:spacing w:before="40" w:after="40"/>
            </w:pPr>
            <w:r>
              <w:rPr>
                <w:b w:val="0"/>
                <w:i w:val="0"/>
                <w:sz w:val="19"/>
              </w:rPr>
              <w:t>Approach/Avoid Events sub-view only</w:t>
            </w:r>
          </w:p>
        </w:tc>
      </w:tr>
    </w:tbl>
    <w:p/>
    <w:p>
      <w:pPr>
        <w:spacing w:before="80" w:after="80"/>
        <w:pBdr>
          <w:bottom w:val="single" w:sz="6" w:space="1" w:color="CCCCCC"/>
        </w:pBdr>
      </w:pPr>
    </w:p>
    <w:p>
      <w:pPr>
        <w:pStyle w:val="Heading2"/>
        <w:spacing w:before="200" w:after="80"/>
      </w:pPr>
      <w:r>
        <w:rPr>
          <w:b/>
          <w:color w:val="2E74B5"/>
          <w:sz w:val="28"/>
        </w:rPr>
        <w:t>6. Recommended workflow</w:t>
      </w:r>
    </w:p>
    <w:p>
      <w:pPr>
        <w:pStyle w:val="ListNumber"/>
      </w:pPr>
      <w:r>
        <w:rPr>
          <w:b w:val="0"/>
          <w:i w:val="0"/>
          <w:sz w:val="21"/>
        </w:rPr>
        <w:t xml:space="preserve">Decide the paradigm </w:t>
      </w:r>
      <w:r>
        <w:rPr>
          <w:b/>
          <w:i w:val="0"/>
          <w:sz w:val="21"/>
        </w:rPr>
        <w:t>before recording</w:t>
      </w:r>
      <w:r>
        <w:rPr>
          <w:b w:val="0"/>
          <w:i w:val="0"/>
          <w:sz w:val="21"/>
        </w:rPr>
        <w:t>, or at latest before running Step 3 — role tagging is</w:t>
      </w:r>
    </w:p>
    <w:p>
      <w:pPr>
        <w:spacing w:after="120"/>
      </w:pPr>
      <w:r>
        <w:rPr>
          <w:b w:val="0"/>
          <w:i w:val="0"/>
        </w:rPr>
        <w:t>configured once, project-wide, and cannot be added retroactively to an already-run session.</w:t>
      </w:r>
    </w:p>
    <w:p>
      <w:pPr>
        <w:pStyle w:val="ListNumber"/>
      </w:pPr>
      <w:r>
        <w:rPr>
          <w:b w:val="0"/>
          <w:i w:val="0"/>
          <w:sz w:val="21"/>
        </w:rPr>
        <w:t>Trace the arena on a representative reference frame; tag roles precisely against §5.1's table, not by</w:t>
      </w:r>
    </w:p>
    <w:p>
      <w:pPr>
        <w:spacing w:after="120"/>
      </w:pPr>
      <w:r>
        <w:rPr>
          <w:b w:val="0"/>
          <w:i w:val="0"/>
        </w:rPr>
        <w:t xml:space="preserve">approximate name alone (a region literally named </w:t>
      </w:r>
      <w:r>
        <w:rPr>
          <w:rFonts w:ascii="Courier New" w:hAnsi="Courier New"/>
          <w:color w:val="C0392B"/>
          <w:sz w:val="18"/>
        </w:rPr>
        <w:t>"open_arm"</w:t>
      </w:r>
      <w:r>
        <w:rPr>
          <w:b w:val="0"/>
          <w:i w:val="0"/>
        </w:rPr>
        <w:t xml:space="preserve"> but tagged with no role, or the wrong role, silently fails the minimum-role gate).</w:t>
      </w:r>
    </w:p>
    <w:p>
      <w:pPr>
        <w:pStyle w:val="ListNumber"/>
      </w:pPr>
      <w:r>
        <w:rPr>
          <w:b w:val="0"/>
          <w:i w:val="0"/>
          <w:sz w:val="21"/>
        </w:rPr>
        <w:t xml:space="preserve">Enable </w:t>
      </w:r>
      <w:r>
        <w:rPr>
          <w:rFonts w:ascii="Courier New" w:hAnsi="Courier New"/>
          <w:color w:val="C0392B"/>
          <w:sz w:val="18"/>
        </w:rPr>
        <w:t>kinematic_directedness_enabled</w:t>
      </w:r>
      <w:r>
        <w:rPr>
          <w:b w:val="0"/>
          <w:i w:val="0"/>
          <w:sz w:val="21"/>
        </w:rPr>
        <w:t xml:space="preserve"> alongside </w:t>
      </w:r>
      <w:r>
        <w:rPr>
          <w:rFonts w:ascii="Courier New" w:hAnsi="Courier New"/>
          <w:color w:val="C0392B"/>
          <w:sz w:val="18"/>
        </w:rPr>
        <w:t>env_features_enabled</w:t>
      </w:r>
      <w:r>
        <w:rPr>
          <w:b w:val="0"/>
          <w:i w:val="0"/>
          <w:sz w:val="21"/>
        </w:rPr>
        <w:t xml:space="preserve"> whenever Approach/Avoid Events</w:t>
      </w:r>
    </w:p>
    <w:p>
      <w:pPr>
        <w:spacing w:after="120"/>
      </w:pPr>
      <w:r>
        <w:rPr>
          <w:b w:val="0"/>
          <w:i w:val="0"/>
        </w:rPr>
        <w:t>or Open Field's distance-traveled control matter to the study design — this cannot be added after the pipeline has already run.</w:t>
      </w:r>
    </w:p>
    <w:p>
      <w:pPr>
        <w:pStyle w:val="ListNumber"/>
      </w:pPr>
      <w:r>
        <w:rPr>
          <w:b w:val="0"/>
          <w:i w:val="0"/>
          <w:sz w:val="21"/>
        </w:rPr>
        <w:t>After running, load sessions in Combined Analysis as usual, then Refresh in Paradigm Results — the tab</w:t>
      </w:r>
    </w:p>
    <w:p>
      <w:pPr>
        <w:spacing w:after="120"/>
      </w:pPr>
      <w:r>
        <w:rPr>
          <w:b w:val="0"/>
          <w:i w:val="0"/>
        </w:rPr>
        <w:t>auto-selects the matching sub-view; browse others only to confirm the mismatch-placeholder behaves as expected, not to force a paradigm-specific view onto data it wasn't traced for.</w:t>
      </w:r>
    </w:p>
    <w:p>
      <w:pPr>
        <w:pStyle w:val="ListNumber"/>
      </w:pPr>
      <w:r>
        <w:rPr>
          <w:b w:val="0"/>
          <w:i w:val="0"/>
          <w:sz w:val="21"/>
        </w:rPr>
        <w:t>Report the mandatory control-metric bar alongside every primary index in any downstream write-up — this</w:t>
      </w:r>
    </w:p>
    <w:p>
      <w:pPr>
        <w:spacing w:after="120"/>
      </w:pPr>
      <w:r>
        <w:rPr>
          <w:b w:val="0"/>
          <w:i w:val="0"/>
        </w:rPr>
        <w:t>tab computes and displays it specifically so it isn't left out.</w:t>
      </w:r>
    </w:p>
    <w:p>
      <w:pPr>
        <w:pStyle w:val="ListNumber"/>
      </w:pPr>
      <w:r>
        <w:rPr>
          <w:b w:val="0"/>
          <w:i w:val="0"/>
          <w:sz w:val="21"/>
        </w:rPr>
        <w:t>Treat every occupancy-heatmap outline as approximate and every Approach/Avoid Events classification as</w:t>
      </w:r>
    </w:p>
    <w:p>
      <w:pPr>
        <w:spacing w:after="120"/>
      </w:pPr>
      <w:r>
        <w:rPr>
          <w:b w:val="0"/>
          <w:i w:val="0"/>
        </w:rPr>
        <w:t>heuristic (§4, item 2; §3.7) — neither substitutes for reviewing the traced arena/annotated video directly when precision matters.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