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v4</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val="0"/>
          <w:i w:val="0"/>
        </w:rPr>
        <w:t>Eight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Ward-reclustered cluster dendrogram with blended distance (70% change-pattern + 30% transition cosine)</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spacing w:before="80" w:after="80"/>
        <w:pBdr>
          <w:bottom w:val="single" w:sz="6" w:space="1" w:color="CCCCCC"/>
        </w:pBdr>
      </w:pPr>
    </w:p>
    <w:p>
      <w:pPr>
        <w:spacing w:after="120"/>
      </w:pPr>
      <w:r>
        <w:rPr>
          <w:b w:val="0"/>
          <w:i/>
        </w:rPr>
        <w:t>For the full Group Predictor documentation, see [GROUP_PREDICTOR_REFERENCE.md](GROUP_PREDICTOR_REFERENCE.md).</w:t>
      </w:r>
      <w:r>
        <w:rPr>
          <w:b w:val="0"/>
          <w:i w:val="0"/>
        </w:rPr>
        <w:t xml:space="preserve"> </w:t>
      </w:r>
      <w:r>
        <w:rPr>
          <w:b w:val="0"/>
          <w:i/>
        </w:rPr>
        <w:t>For the v5 3D dual-camera extension plan, see [3D_Integration_Plan_v5.md](3D_Integration_Plan_v5.md).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