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SolarDocs</w:t>
      </w:r>
      <w:r>
        <w:t xml:space="preserve"> </w:t>
      </w:r>
      <w:r>
        <w:t xml:space="preserve">—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Guide,</w:t>
      </w:r>
      <w:r>
        <w:t xml:space="preserve"> </w:t>
      </w:r>
      <w:r>
        <w:t xml:space="preserve">Part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Packaging,</w:t>
      </w:r>
      <w:r>
        <w:t xml:space="preserve"> </w:t>
      </w:r>
      <w:r>
        <w:t xml:space="preserve">Installer,</w:t>
      </w:r>
      <w:r>
        <w:t xml:space="preserve"> </w:t>
      </w:r>
      <w:r>
        <w:t xml:space="preserve">First-Run</w:t>
      </w:r>
      <w:r>
        <w:t xml:space="preserve"> </w:t>
      </w:r>
      <w:r>
        <w:t xml:space="preserve">Wizard</w:t>
      </w:r>
      <w:r>
        <w:t xml:space="preserve"> </w:t>
      </w:r>
      <w:r>
        <w:t xml:space="preserve">&amp;</w:t>
      </w:r>
      <w:r>
        <w:t xml:space="preserve"> </w:t>
      </w:r>
      <w:r>
        <w:t xml:space="preserve">Roadmap</w:t>
      </w:r>
      <w:r>
        <w:t xml:space="preserve"> </w:t>
      </w:r>
      <w:r>
        <w:t xml:space="preserve">Checklist</w:t>
      </w:r>
      <w:r>
        <w:t xml:space="preserve"> </w:t>
      </w:r>
      <w:r>
        <w:t xml:space="preserve">—</w:t>
      </w:r>
      <w:r>
        <w:t xml:space="preserve"> </w:t>
      </w:r>
      <w:r>
        <w:t xml:space="preserve">Phase</w:t>
      </w:r>
      <w:r>
        <w:t xml:space="preserve"> </w:t>
      </w:r>
      <w:r>
        <w:t xml:space="preserve">8,</w:t>
      </w:r>
      <w:r>
        <w:t xml:space="preserve"> </w:t>
      </w:r>
      <w:r>
        <w:t xml:space="preserve">9</w:t>
      </w:r>
      <w:r>
        <w:t xml:space="preserve"> </w:t>
      </w:r>
      <w:r>
        <w:t xml:space="preserve">&amp;</w:t>
      </w:r>
      <w:r>
        <w:t xml:space="preserve"> </w:t>
      </w:r>
      <w:r>
        <w:t xml:space="preserve">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X0144232b4e9c1caa7caa29cc56c5b07c4f6b890"/>
    <w:p>
      <w:pPr>
        <w:pStyle w:val="Heading1"/>
      </w:pPr>
      <w:r>
        <w:t xml:space="preserve">Part 5 — Packaging, Installer &amp; Roadmap Checklist</w:t>
      </w:r>
    </w:p>
    <w:p>
      <w:pPr>
        <w:pStyle w:val="FirstParagraph"/>
      </w:pPr>
      <w:r>
        <w:t xml:space="preserve">Continues directly from Part 4.</w:t>
      </w:r>
      <w:r>
        <w:t xml:space="preserve"> </w:t>
      </w:r>
      <w:r>
        <w:rPr>
          <w:bCs/>
          <w:b/>
        </w:rPr>
        <w:t xml:space="preserve">Covers:</w:t>
      </w:r>
      <w:r>
        <w:t xml:space="preserve"> </w:t>
      </w:r>
      <w:r>
        <w:t xml:space="preserve">Phase 8 (Packaging) + Phase 9 (Hardening/Testing) + Phase 10 (Release) from the Development Roadmap, and closes with a full checklist mapped back to every phase across all 5 parts.</w:t>
      </w:r>
    </w:p>
    <w:p>
      <w:pPr>
        <w:pStyle w:val="BodyText"/>
      </w:pPr>
      <w:r>
        <w:rPr>
          <w:bCs/>
          <w:b/>
        </w:rPr>
        <w:t xml:space="preserve">What you will have at the end of Part 5:</w:t>
      </w:r>
      <w:r>
        <w:t xml:space="preserve"> </w:t>
      </w:r>
      <w:r>
        <w:t xml:space="preserve">- Angular built and served as static files from the Spring Boot jar (one process, one executable)</w:t>
      </w:r>
      <w:r>
        <w:t xml:space="preserve"> </w:t>
      </w:r>
      <w:r>
        <w:t xml:space="preserve">- A native Windows installer (</w:t>
      </w:r>
      <w:r>
        <w:rPr>
          <w:rStyle w:val="VerbatimChar"/>
        </w:rPr>
        <w:t xml:space="preserve">.exe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jpackage</w:t>
      </w:r>
      <w:r>
        <w:t xml:space="preserve">, bundling its own JRE — no Java install required on the vendor’s PC</w:t>
      </w:r>
      <w:r>
        <w:t xml:space="preserve"> </w:t>
      </w:r>
      <w:r>
        <w:t xml:space="preserve">- A first-run wizard that lets the vendor choose the SolarDocs data folder location</w:t>
      </w:r>
      <w:r>
        <w:t xml:space="preserve"> </w:t>
      </w:r>
      <w:r>
        <w:t xml:space="preserve">- A hardening/testing checklist and the full cross-part roadmap checklist</w:t>
      </w:r>
    </w:p>
    <w:p>
      <w:r>
        <w:pict>
          <v:rect style="width:0;height:1.5pt" o:hralign="center" o:hrstd="t" o:hr="t"/>
        </w:pict>
      </w:r>
    </w:p>
    <w:bookmarkStart w:id="20" w:name="X1aec77af018be8af6b6fe60d1c3aa7b61a73fc4"/>
    <w:p>
      <w:pPr>
        <w:pStyle w:val="Heading2"/>
      </w:pPr>
      <w:r>
        <w:t xml:space="preserve">Step 1 — Serve Angular from Spring Boot (Single Executable)</w:t>
      </w:r>
    </w:p>
    <w:p>
      <w:pPr>
        <w:pStyle w:val="FirstParagraph"/>
      </w:pPr>
      <w:r>
        <w:t xml:space="preserve">Build the Angular app for production and copy the output into Spring Boot’s static resources folder: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solardocs-frontend</w:t>
      </w:r>
      <w:r>
        <w:br/>
      </w:r>
      <w:r>
        <w:rPr>
          <w:rStyle w:val="ExtensionTok"/>
        </w:rPr>
        <w:t xml:space="preserve">ng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--configuration</w:t>
      </w:r>
      <w:r>
        <w:rPr>
          <w:rStyle w:val="NormalTok"/>
        </w:rPr>
        <w:t xml:space="preserve"> production</w:t>
      </w:r>
      <w:r>
        <w:br/>
      </w:r>
      <w:r>
        <w:rPr>
          <w:rStyle w:val="CommentTok"/>
        </w:rPr>
        <w:t xml:space="preserve"># Output goes to dist/solardocs-frontend/browser (Angular 17+) or dist/solardocs-frontend (older)</w:t>
      </w:r>
      <w:r>
        <w:br/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../solardocs-backend/src/main/resources/static/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dist/solardocs-frontend/browser/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../solardocs-backend/src/main/resources/static/</w:t>
      </w:r>
    </w:p>
    <w:p>
      <w:pPr>
        <w:pStyle w:val="FirstParagraph"/>
      </w:pPr>
      <w:r>
        <w:t xml:space="preserve">Automate this with a small script so you never forget a step before packaging:</w:t>
      </w:r>
    </w:p>
    <w:p>
      <w:pPr>
        <w:pStyle w:val="BodyText"/>
      </w:pPr>
      <w:r>
        <w:rPr>
          <w:rStyle w:val="VerbatimChar"/>
          <w:bCs/>
          <w:b/>
        </w:rPr>
        <w:t xml:space="preserve">build-all.sh</w:t>
      </w:r>
      <w:r>
        <w:t xml:space="preserve"> </w:t>
      </w:r>
      <w:r>
        <w:t xml:space="preserve">(place at the repo root, alongside both project folders):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 Angular frontend..."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solardocs-frontend</w:t>
      </w:r>
      <w:r>
        <w:br/>
      </w:r>
      <w:r>
        <w:rPr>
          <w:rStyle w:val="ExtensionTok"/>
        </w:rPr>
        <w:t xml:space="preserve">ng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--configuration</w:t>
      </w:r>
      <w:r>
        <w:rPr>
          <w:rStyle w:val="NormalTok"/>
        </w:rPr>
        <w:t xml:space="preserve"> production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"Copying frontend build into backend static resources..."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solardocs-backend/src/main/resources/static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solardocs-backend/src/main/resources/static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solardocs-frontend/dist/solardocs-frontend/browser/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solardocs-backend/src/main/resources/static/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 backend fat jar..."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solardocs-backend</w:t>
      </w:r>
      <w:r>
        <w:br/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"Done. Jar at solardocs-backend/target/solardocs-backend-0.0.1-SNAPSHOT.jar"</w:t>
      </w:r>
    </w:p>
    <w:p>
      <w:pPr>
        <w:pStyle w:val="FirstParagraph"/>
      </w:pPr>
      <w:r>
        <w:t xml:space="preserve">Since Angular’s router uses client-side routing, add this so deep links (e.g. refreshing on</w:t>
      </w:r>
      <w:r>
        <w:t xml:space="preserve"> </w:t>
      </w:r>
      <w:r>
        <w:rPr>
          <w:rStyle w:val="VerbatimChar"/>
        </w:rPr>
        <w:t xml:space="preserve">/customers/A00001</w:t>
      </w:r>
      <w:r>
        <w:t xml:space="preserve">) don’t 404 — a fallback controller that forwards any non-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path to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</w:t>
      </w:r>
    </w:p>
    <w:p>
      <w:pPr>
        <w:pStyle w:val="BodyText"/>
      </w:pPr>
      <w:r>
        <w:rPr>
          <w:rStyle w:val="VerbatimChar"/>
          <w:bCs/>
          <w:b/>
        </w:rPr>
        <w:t xml:space="preserve">config/SpaFallbackController.java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solardocs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GetMapping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SpaFallbackController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Matches any path with no "." (i.e. not a static asset request) and not starting with /api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"/{path:[^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.]*}"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"/**/{path:[^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.]*}"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"forward:/index.html"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Run the whole thing as one process: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solardocs-backend/target/solardocs-backend-0.0.1-SNAPSHOT.jar</w:t>
      </w:r>
    </w:p>
    <w:p>
      <w:pPr>
        <w:pStyle w:val="FirstParagraph"/>
      </w:pPr>
      <w:r>
        <w:t xml:space="preserve">Visit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— Angular UI and the API are now served from the same port, matching Section 1’s</w:t>
      </w:r>
      <w:r>
        <w:t xml:space="preserve"> </w:t>
      </w:r>
      <w:r>
        <w:t xml:space="preserve">“</w:t>
      </w:r>
      <w:r>
        <w:t xml:space="preserve">single desktop executable</w:t>
      </w:r>
      <w:r>
        <w:t xml:space="preserve">”</w:t>
      </w:r>
      <w:r>
        <w:t xml:space="preserve"> </w:t>
      </w:r>
      <w:r>
        <w:t xml:space="preserve">goal.</w:t>
      </w:r>
    </w:p>
    <w:p>
      <w:r>
        <w:pict>
          <v:rect style="width:0;height:1.5pt" o:hralign="center" o:hrstd="t" o:hr="t"/>
        </w:pict>
      </w:r>
    </w:p>
    <w:bookmarkEnd w:id="20"/>
    <w:bookmarkStart w:id="21" w:name="step-2-windows-installer-via-jpackage"/>
    <w:p>
      <w:pPr>
        <w:pStyle w:val="Heading2"/>
      </w:pPr>
      <w:r>
        <w:t xml:space="preserve">Step 2 — Windows Installer via</w:t>
      </w:r>
      <w:r>
        <w:t xml:space="preserve"> </w:t>
      </w:r>
      <w:r>
        <w:rPr>
          <w:rStyle w:val="VerbatimChar"/>
        </w:rPr>
        <w:t xml:space="preserve">jpackage</w:t>
      </w:r>
    </w:p>
    <w:p>
      <w:pPr>
        <w:pStyle w:val="FirstParagraph"/>
      </w:pPr>
      <w:r>
        <w:rPr>
          <w:rStyle w:val="VerbatimChar"/>
        </w:rPr>
        <w:t xml:space="preserve">jpackage</w:t>
      </w:r>
      <w:r>
        <w:t xml:space="preserve"> </w:t>
      </w:r>
      <w:r>
        <w:t xml:space="preserve">ships with JDK 17+; it bundles a minimal JRE with your app so end users never install Java.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solardocs-backend</w:t>
      </w:r>
      <w:r>
        <w:br/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br/>
      </w:r>
      <w:r>
        <w:rPr>
          <w:rStyle w:val="ExtensionTok"/>
        </w:rPr>
        <w:t xml:space="preserve">jpackage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target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SolarDocs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--main-jar</w:t>
      </w:r>
      <w:r>
        <w:rPr>
          <w:rStyle w:val="NormalTok"/>
        </w:rPr>
        <w:t xml:space="preserve"> solardocs-backend-0.0.1-SNAPSHOT.jar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--main-class</w:t>
      </w:r>
      <w:r>
        <w:rPr>
          <w:rStyle w:val="NormalTok"/>
        </w:rPr>
        <w:t xml:space="preserve"> org.springframework.boot.loader.launch.JarLauncher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exe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--icon</w:t>
      </w:r>
      <w:r>
        <w:rPr>
          <w:rStyle w:val="NormalTok"/>
        </w:rPr>
        <w:t xml:space="preserve"> icons/solardocs.ico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--app-version</w:t>
      </w:r>
      <w:r>
        <w:rPr>
          <w:rStyle w:val="NormalTok"/>
        </w:rPr>
        <w:t xml:space="preserve"> 1.0.0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--vendor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"Guru Narayana Electrical and Contractors"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--win-shortcut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--win-menu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--win-dir-chooser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--main-class</w:t>
      </w:r>
      <w:r>
        <w:t xml:space="preserve"> </w:t>
      </w:r>
      <w:r>
        <w:t xml:space="preserve">uses the Spring Boot 3.2+ jar launcher class; check</w:t>
      </w:r>
      <w:r>
        <w:t xml:space="preserve"> </w:t>
      </w:r>
      <w:r>
        <w:rPr>
          <w:rStyle w:val="VerbatimChar"/>
        </w:rPr>
        <w:t xml:space="preserve">META-INF/MANIFEST.MF</w:t>
      </w:r>
      <w:r>
        <w:t xml:space="preserve"> </w:t>
      </w:r>
      <w:r>
        <w:t xml:space="preserve">inside your built jar (</w:t>
      </w:r>
      <w:r>
        <w:rPr>
          <w:rStyle w:val="VerbatimChar"/>
        </w:rPr>
        <w:t xml:space="preserve">unzip -p target/*.jar META-INF/MANIFEST.MF</w:t>
      </w:r>
      <w:r>
        <w:t xml:space="preserve">) if this differs for your Spring Boot version.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--type exe</w:t>
      </w:r>
      <w:r>
        <w:t xml:space="preserve"> </w:t>
      </w:r>
      <w:r>
        <w:t xml:space="preserve">requires</w:t>
      </w:r>
      <w:r>
        <w:t xml:space="preserve"> </w:t>
      </w:r>
      <w:r>
        <w:rPr>
          <w:bCs/>
          <w:b/>
        </w:rPr>
        <w:t xml:space="preserve">WiX Toolset</w:t>
      </w:r>
      <w:r>
        <w:t xml:space="preserve"> </w:t>
      </w:r>
      <w:r>
        <w:t xml:space="preserve">installed on the build machine (Windows only). For a first pass without WiX, use</w:t>
      </w:r>
      <w:r>
        <w:t xml:space="preserve"> </w:t>
      </w:r>
      <w:r>
        <w:rPr>
          <w:rStyle w:val="VerbatimChar"/>
        </w:rPr>
        <w:t xml:space="preserve">--type app-image</w:t>
      </w:r>
      <w:r>
        <w:t xml:space="preserve"> </w:t>
      </w:r>
      <w:r>
        <w:t xml:space="preserve">to get a runnable folder without an installer wrapper.</w:t>
      </w:r>
      <w:r>
        <w:t xml:space="preserve"> </w:t>
      </w:r>
      <w:r>
        <w:t xml:space="preserve">- The output installer launches the jar as a background process — pair it with a system tray icon (Step 3) so closing the window doesn’t feel like closing</w:t>
      </w:r>
      <w:r>
        <w:t xml:space="preserve"> </w:t>
      </w:r>
      <w:r>
        <w:t xml:space="preserve">“</w:t>
      </w:r>
      <w:r>
        <w:t xml:space="preserve">nothing,</w:t>
      </w:r>
      <w:r>
        <w:t xml:space="preserve">”</w:t>
      </w:r>
      <w:r>
        <w:t xml:space="preserve"> </w:t>
      </w:r>
      <w:r>
        <w:t xml:space="preserve">and add a</w:t>
      </w:r>
      <w:r>
        <w:t xml:space="preserve"> </w:t>
      </w:r>
      <w:r>
        <w:rPr>
          <w:rStyle w:val="VerbatimChar"/>
        </w:rPr>
        <w:t xml:space="preserve">--win-console</w:t>
      </w:r>
      <w:r>
        <w:t xml:space="preserve"> </w:t>
      </w:r>
      <w:r>
        <w:t xml:space="preserve">flag temporarily while debugging startup issues, removing it for the release build.</w:t>
      </w:r>
    </w:p>
    <w:p>
      <w:r>
        <w:pict>
          <v:rect style="width:0;height:1.5pt" o:hralign="center" o:hrstd="t" o:hr="t"/>
        </w:pict>
      </w:r>
    </w:p>
    <w:bookmarkEnd w:id="21"/>
    <w:bookmarkStart w:id="22" w:name="X56d365c16065aa0690614bc94cc9ff6a05c1522"/>
    <w:p>
      <w:pPr>
        <w:pStyle w:val="Heading2"/>
      </w:pPr>
      <w:r>
        <w:t xml:space="preserve">Step 3 — System Tray Icon + Auto-Open Browser</w:t>
      </w:r>
    </w:p>
    <w:p>
      <w:pPr>
        <w:pStyle w:val="FirstParagraph"/>
      </w:pPr>
      <w:r>
        <w:t xml:space="preserve">Desktop users expect an icon they can click, not a bare terminal window. Add a lightweight AWT tray icon that opens the default browser to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 </w:t>
      </w:r>
      <w:r>
        <w:t xml:space="preserve">and offers</w:t>
      </w:r>
      <w:r>
        <w:t xml:space="preserve"> </w:t>
      </w:r>
      <w:r>
        <w:t xml:space="preserve">“</w:t>
      </w:r>
      <w:r>
        <w:t xml:space="preserve">Open SolarDocs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Exit</w:t>
      </w:r>
      <w:r>
        <w:t xml:space="preserve">”</w:t>
      </w:r>
      <w:r>
        <w:t xml:space="preserve">:</w:t>
      </w:r>
    </w:p>
    <w:p>
      <w:pPr>
        <w:pStyle w:val="BodyText"/>
      </w:pPr>
      <w:r>
        <w:rPr>
          <w:rStyle w:val="VerbatimChar"/>
          <w:bCs/>
          <w:b/>
        </w:rPr>
        <w:t xml:space="preserve">config/TrayIconLauncher.java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solardocs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PostConstruct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URI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TrayIconLauncher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setupTray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BuiltInTok"/>
        </w:rPr>
        <w:t xml:space="preserve">SystemTray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isSupported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SystemTray</w:t>
      </w:r>
      <w:r>
        <w:rPr>
          <w:rStyle w:val="NormalTok"/>
        </w:rPr>
        <w:t xml:space="preserve"> tray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SystemTray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getSystemTray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Image</w:t>
      </w:r>
      <w:r>
        <w:rPr>
          <w:rStyle w:val="NormalTok"/>
        </w:rPr>
        <w:t xml:space="preserve">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Toolkit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getDefaultToolkit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getImage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getResource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"/icons/tray-icon.png"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PopupMenu</w:t>
      </w:r>
      <w:r>
        <w:rPr>
          <w:rStyle w:val="NormalTok"/>
        </w:rPr>
        <w:t xml:space="preserve"> popup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PopupMenu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MenuItem</w:t>
      </w:r>
      <w:r>
        <w:rPr>
          <w:rStyle w:val="NormalTok"/>
        </w:rPr>
        <w:t xml:space="preserve"> 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 SolarDocs"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open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openBrowser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popup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MenuItem</w:t>
      </w:r>
      <w:r>
        <w:rPr>
          <w:rStyle w:val="NormalTok"/>
        </w:rPr>
        <w:t xml:space="preserve"> exit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exit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popup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TrayIcon</w:t>
      </w:r>
      <w:r>
        <w:rPr>
          <w:rStyle w:val="NormalTok"/>
        </w:rPr>
        <w:t xml:space="preserve"> trayIcon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TrayIcon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"SolarDocs"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popup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trayIcon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setImageAutoSize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trayIcon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openBrowser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tray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trayIcon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openBrowser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auto-open on first launch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tray not critical to app function — log and 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openBrowser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Desktop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isDesktopSupported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Desktop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getDesktop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browse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URI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"http://localhost:8080"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ignored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Place</w:t>
      </w:r>
      <w:r>
        <w:t xml:space="preserve"> </w:t>
      </w:r>
      <w:r>
        <w:rPr>
          <w:rStyle w:val="VerbatimChar"/>
        </w:rPr>
        <w:t xml:space="preserve">tray-icon.png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src/main/resources/icons/tray-icon.png</w:t>
      </w:r>
      <w:r>
        <w:t xml:space="preserve">. Run the jar with</w:t>
      </w:r>
      <w:r>
        <w:t xml:space="preserve"> </w:t>
      </w:r>
      <w:r>
        <w:rPr>
          <w:rStyle w:val="VerbatimChar"/>
        </w:rPr>
        <w:t xml:space="preserve">-Djava.awt.headless=false</w:t>
      </w:r>
      <w:r>
        <w:t xml:space="preserve"> </w:t>
      </w:r>
      <w:r>
        <w:t xml:space="preserve">(jpackage sets this automatically for GUI apps).</w:t>
      </w:r>
    </w:p>
    <w:p>
      <w:r>
        <w:pict>
          <v:rect style="width:0;height:1.5pt" o:hralign="center" o:hrstd="t" o:hr="t"/>
        </w:pict>
      </w:r>
    </w:p>
    <w:bookmarkEnd w:id="22"/>
    <w:bookmarkStart w:id="23" w:name="step-4-first-run-data-directory-wizard"/>
    <w:p>
      <w:pPr>
        <w:pStyle w:val="Heading2"/>
      </w:pPr>
      <w:r>
        <w:t xml:space="preserve">Step 4 — First-Run Data Directory Wizard</w:t>
      </w:r>
    </w:p>
    <w:p>
      <w:pPr>
        <w:pStyle w:val="FirstParagraph"/>
      </w:pPr>
      <w:r>
        <w:t xml:space="preserve">On first launch, before showing the customer list, ask the vendor where to keep their SolarDocs data (a local folder, or a synced folder like OneDrive/Google Drive for their own manual backup habit).</w:t>
      </w:r>
    </w:p>
    <w:p>
      <w:pPr>
        <w:pStyle w:val="BodyText"/>
      </w:pPr>
      <w:r>
        <w:rPr>
          <w:rStyle w:val="VerbatimChar"/>
          <w:bCs/>
          <w:b/>
        </w:rPr>
        <w:t xml:space="preserve">api/setup/SetupController.java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solardocs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setup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solardocs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ApiResponse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solardocs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AppDataDirectoryConfig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"/api/setup"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SetupController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AppDataDirectoryConfig dirs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AppDataDirectoryConfig dirs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"/status"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isConfigured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configDir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"config.json"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ChooseFolderRequest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"/data-directory"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chooseFolder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ChooseFolderRequest 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In V1, solardocs.data-dir is read once at startup from application.properties /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 environment variable. To let this endpoint truly "switch" the folder without a restart,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write the chosen path to a small bootstrap file (e.g. ~/.solardocs/bootstrap.properties)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that a custom PropertySource reads before Spring's context refreshes, then restart the app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(the tray icon's "Restart" action) to pick it up.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chosen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Angular first-run wizard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features/setup/first-run-wizard.component.ts</w:t>
      </w:r>
      <w:r>
        <w:t xml:space="preserve">: on app boot, call</w:t>
      </w:r>
      <w:r>
        <w:t xml:space="preserve"> </w:t>
      </w:r>
      <w:r>
        <w:rPr>
          <w:rStyle w:val="VerbatimChar"/>
        </w:rPr>
        <w:t xml:space="preserve">GET /api/setup/status</w:t>
      </w:r>
      <w:r>
        <w:t xml:space="preserve">; if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show a full-screen wizard (folder path input +</w:t>
      </w:r>
      <w:r>
        <w:t xml:space="preserve"> </w:t>
      </w:r>
      <w:r>
        <w:t xml:space="preserve">“</w:t>
      </w:r>
      <w:r>
        <w:t xml:space="preserve">This is where all your customer data, PDFs, and backups will be stored</w:t>
      </w:r>
      <w:r>
        <w:t xml:space="preserve">”</w:t>
      </w:r>
      <w:r>
        <w:t xml:space="preserve"> </w:t>
      </w:r>
      <w:r>
        <w:t xml:space="preserve">explainer) before letting the router proceed to</w:t>
      </w:r>
      <w:r>
        <w:t xml:space="preserve"> </w:t>
      </w:r>
      <w:r>
        <w:rPr>
          <w:rStyle w:val="VerbatimChar"/>
        </w:rPr>
        <w:t xml:space="preserve">/customers</w:t>
      </w:r>
      <w:r>
        <w:t xml:space="preserve">. A route guard (</w:t>
      </w:r>
      <w:r>
        <w:rPr>
          <w:rStyle w:val="VerbatimChar"/>
        </w:rPr>
        <w:t xml:space="preserve">SetupGuard implements CanActivate</w:t>
      </w:r>
      <w:r>
        <w:t xml:space="preserve">) checking that same endpoint keeps every other route locked until setup completes, mirroring the license guard pattern from Part 4 Step 3.</w:t>
      </w:r>
    </w:p>
    <w:p>
      <w:r>
        <w:pict>
          <v:rect style="width:0;height:1.5pt" o:hralign="center" o:hrstd="t" o:hr="t"/>
        </w:pict>
      </w:r>
    </w:p>
    <w:bookmarkEnd w:id="23"/>
    <w:bookmarkStart w:id="24" w:name="step-5-hardening-testing-checklist"/>
    <w:p>
      <w:pPr>
        <w:pStyle w:val="Heading2"/>
      </w:pPr>
      <w:r>
        <w:t xml:space="preserve">Step 5 — Hardening &amp; Testing Checklist</w:t>
      </w:r>
    </w:p>
    <w:p>
      <w:pPr>
        <w:pStyle w:val="FirstParagraph"/>
      </w:pPr>
      <w:r>
        <w:t xml:space="preserve">Before calling V1 done, verify each of these manually (or better, write JUnit/Karma tests covering them):</w:t>
      </w:r>
    </w:p>
    <w:p>
      <w:pPr>
        <w:pStyle w:val="BodyText"/>
      </w:pPr>
      <w:r>
        <w:rPr>
          <w:bCs/>
          <w:b/>
        </w:rPr>
        <w:t xml:space="preserve">Data integrity</w:t>
      </w:r>
      <w:r>
        <w:t xml:space="preserve"> </w:t>
      </w:r>
      <w:r>
        <w:t xml:space="preserve">- [ ] Kill the app process mid-save (</w:t>
      </w:r>
      <w:r>
        <w:rPr>
          <w:rStyle w:val="VerbatimChar"/>
        </w:rPr>
        <w:t xml:space="preserve">kill -9</w:t>
      </w:r>
      <w:r>
        <w:t xml:space="preserve">) — confirm</w:t>
      </w:r>
      <w:r>
        <w:t xml:space="preserve"> </w:t>
      </w:r>
      <w:r>
        <w:rPr>
          <w:rStyle w:val="VerbatimChar"/>
        </w:rPr>
        <w:t xml:space="preserve">customer.json</w:t>
      </w:r>
      <w:r>
        <w:t xml:space="preserve"> </w:t>
      </w:r>
      <w:r>
        <w:t xml:space="preserve">is never left half-written (this is what</w:t>
      </w:r>
      <w:r>
        <w:t xml:space="preserve"> </w:t>
      </w:r>
      <w:r>
        <w:rPr>
          <w:rStyle w:val="VerbatimChar"/>
        </w:rPr>
        <w:t xml:space="preserve">JsonFileUtils.writeAtomic</w:t>
      </w:r>
      <w:r>
        <w:t xml:space="preserve"> </w:t>
      </w:r>
      <w:r>
        <w:t xml:space="preserve">from Part 1 Step 5 exists to guarantee — verify it actually holds under a real kill test, not just in theory)</w:t>
      </w:r>
      <w:r>
        <w:t xml:space="preserve"> </w:t>
      </w:r>
      <w:r>
        <w:t xml:space="preserve">- [ ] Two rapid status updates on the same customer in quick succession — confirm no lost update (tests</w:t>
      </w:r>
      <w:r>
        <w:t xml:space="preserve"> </w:t>
      </w:r>
      <w:r>
        <w:rPr>
          <w:rStyle w:val="VerbatimChar"/>
        </w:rPr>
        <w:t xml:space="preserve">FileLockManager</w:t>
      </w:r>
      <w:r>
        <w:t xml:space="preserve">)</w:t>
      </w:r>
      <w:r>
        <w:t xml:space="preserve"> </w:t>
      </w:r>
      <w:r>
        <w:t xml:space="preserve">- [ ] Delete</w:t>
      </w:r>
      <w:r>
        <w:t xml:space="preserve"> </w:t>
      </w:r>
      <w:r>
        <w:rPr>
          <w:rStyle w:val="VerbatimChar"/>
        </w:rPr>
        <w:t xml:space="preserve">Indexes/customers-index.json</w:t>
      </w:r>
      <w:r>
        <w:t xml:space="preserve"> </w:t>
      </w:r>
      <w:r>
        <w:t xml:space="preserve">— confirm there’s a</w:t>
      </w:r>
      <w:r>
        <w:t xml:space="preserve"> </w:t>
      </w:r>
      <w:r>
        <w:t xml:space="preserve">“</w:t>
      </w:r>
      <w:r>
        <w:t xml:space="preserve">Rebuild Index from Customers folder</w:t>
      </w:r>
      <w:r>
        <w:t xml:space="preserve">”</w:t>
      </w:r>
      <w:r>
        <w:t xml:space="preserve"> </w:t>
      </w:r>
      <w:r>
        <w:t xml:space="preserve">admin action that walks every</w:t>
      </w:r>
      <w:r>
        <w:t xml:space="preserve"> </w:t>
      </w:r>
      <w:r>
        <w:rPr>
          <w:rStyle w:val="VerbatimChar"/>
        </w:rPr>
        <w:t xml:space="preserve">customer.json</w:t>
      </w:r>
      <w:r>
        <w:t xml:space="preserve"> </w:t>
      </w:r>
      <w:r>
        <w:t xml:space="preserve">and repopulates it</w:t>
      </w:r>
    </w:p>
    <w:p>
      <w:pPr>
        <w:pStyle w:val="BodyText"/>
      </w:pPr>
      <w:r>
        <w:rPr>
          <w:bCs/>
          <w:b/>
        </w:rPr>
        <w:t xml:space="preserve">PDF generation</w:t>
      </w:r>
      <w:r>
        <w:t xml:space="preserve"> </w:t>
      </w:r>
      <w:r>
        <w:t xml:space="preserve">- [ ] Generate Quotation/Invoice/Agreement/DCR Declaration with missing optional fields (no plant capacity, no consumer number) — confirm no exception, blank cells instead</w:t>
      </w:r>
      <w:r>
        <w:t xml:space="preserve"> </w:t>
      </w:r>
      <w:r>
        <w:t xml:space="preserve">- [ ] Very long customer names / addresses — confirm table cells wrap instead of overflowing the page</w:t>
      </w:r>
      <w:r>
        <w:t xml:space="preserve"> </w:t>
      </w:r>
      <w:r>
        <w:t xml:space="preserve">- [ ] Non-ASCII characters (₹ symbol, regional-language notes) — confirm the PDF font (</w:t>
      </w:r>
      <w:r>
        <w:rPr>
          <w:rStyle w:val="VerbatimChar"/>
        </w:rPr>
        <w:t xml:space="preserve">DejaVu Sans</w:t>
      </w:r>
      <w:r>
        <w:t xml:space="preserve"> </w:t>
      </w:r>
      <w:r>
        <w:t xml:space="preserve">in the templates) actually renders them; swap in a font with wider Unicode coverage if not</w:t>
      </w:r>
    </w:p>
    <w:p>
      <w:pPr>
        <w:pStyle w:val="BodyText"/>
      </w:pPr>
      <w:r>
        <w:rPr>
          <w:bCs/>
          <w:b/>
        </w:rPr>
        <w:t xml:space="preserve">Licensing</w:t>
      </w:r>
      <w:r>
        <w:t xml:space="preserve"> </w:t>
      </w:r>
      <w:r>
        <w:t xml:space="preserve">- [ ] Copy</w:t>
      </w:r>
      <w:r>
        <w:t xml:space="preserve"> </w:t>
      </w:r>
      <w:r>
        <w:rPr>
          <w:rStyle w:val="VerbatimChar"/>
        </w:rPr>
        <w:t xml:space="preserve">Config/license.json</w:t>
      </w:r>
      <w:r>
        <w:t xml:space="preserve"> </w:t>
      </w:r>
      <w:r>
        <w:t xml:space="preserve">to a different machine — confirm activation is rejected (fingerprint mismatch)</w:t>
      </w:r>
      <w:r>
        <w:t xml:space="preserve"> </w:t>
      </w:r>
      <w:r>
        <w:t xml:space="preserve">- [ ] Set system clock forward past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 </w:t>
      </w:r>
      <w:r>
        <w:t xml:space="preserve">— confirm</w:t>
      </w:r>
      <w:r>
        <w:t xml:space="preserve"> </w:t>
      </w:r>
      <w:r>
        <w:rPr>
          <w:rStyle w:val="VerbatimChar"/>
        </w:rPr>
        <w:t xml:space="preserve">status()</w:t>
      </w:r>
      <w:r>
        <w:t xml:space="preserve"> </w:t>
      </w:r>
      <w:r>
        <w:t xml:space="preserve">correctly reports</w:t>
      </w:r>
      <w:r>
        <w:t xml:space="preserve"> </w:t>
      </w:r>
      <w:r>
        <w:rPr>
          <w:rStyle w:val="VerbatimChar"/>
        </w:rPr>
        <w:t xml:space="preserve">EXPIRED_OR_INVALID</w:t>
      </w:r>
    </w:p>
    <w:p>
      <w:pPr>
        <w:pStyle w:val="BodyText"/>
      </w:pPr>
      <w:r>
        <w:rPr>
          <w:bCs/>
          <w:b/>
        </w:rPr>
        <w:t xml:space="preserve">Backup/Restore</w:t>
      </w:r>
      <w:r>
        <w:t xml:space="preserve"> </w:t>
      </w:r>
      <w:r>
        <w:t xml:space="preserve">- [ ] Create a backup, add 3 more customers, restore the earlier backup — confirm those 3 customers are gone and the restored state matches the backup exactly</w:t>
      </w:r>
      <w:r>
        <w:t xml:space="preserve"> </w:t>
      </w:r>
      <w:r>
        <w:t xml:space="preserve">- [ ] Restore into a data directory that has a different</w:t>
      </w:r>
      <w:r>
        <w:t xml:space="preserve"> </w:t>
      </w:r>
      <w:r>
        <w:rPr>
          <w:rStyle w:val="VerbatimChar"/>
        </w:rPr>
        <w:t xml:space="preserve">dataDirVersion</w:t>
      </w:r>
      <w:r>
        <w:t xml:space="preserve"> </w:t>
      </w:r>
      <w:r>
        <w:t xml:space="preserve">— decide and implement the migration/rejection behavior explicitly rather than silently overwriting</w:t>
      </w:r>
    </w:p>
    <w:p>
      <w:pPr>
        <w:pStyle w:val="BodyText"/>
      </w:pPr>
      <w:r>
        <w:rPr>
          <w:bCs/>
          <w:b/>
        </w:rPr>
        <w:t xml:space="preserve">Installer</w:t>
      </w:r>
      <w:r>
        <w:t xml:space="preserve"> </w:t>
      </w:r>
      <w:r>
        <w:t xml:space="preserve">- [ ] Fresh Windows VM with no JDK installed — confirm the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installs and launches correctly</w:t>
      </w:r>
      <w:r>
        <w:t xml:space="preserve"> </w:t>
      </w:r>
      <w:r>
        <w:t xml:space="preserve">- [ ] Confirm the tray icon and</w:t>
      </w:r>
      <w:r>
        <w:t xml:space="preserve"> </w:t>
      </w:r>
      <w:r>
        <w:t xml:space="preserve">“</w:t>
      </w:r>
      <w:r>
        <w:t xml:space="preserve">Exit</w:t>
      </w:r>
      <w:r>
        <w:t xml:space="preserve">”</w:t>
      </w:r>
      <w:r>
        <w:t xml:space="preserve"> </w:t>
      </w:r>
      <w:r>
        <w:t xml:space="preserve">cleanly terminate the embedded server (no orphaned</w:t>
      </w:r>
      <w:r>
        <w:t xml:space="preserve"> </w:t>
      </w:r>
      <w:r>
        <w:rPr>
          <w:rStyle w:val="VerbatimChar"/>
        </w:rPr>
        <w:t xml:space="preserve">java.exe</w:t>
      </w:r>
      <w:r>
        <w:t xml:space="preserve"> </w:t>
      </w:r>
      <w:r>
        <w:t xml:space="preserve">process in Task Manager)</w:t>
      </w:r>
    </w:p>
    <w:p>
      <w:r>
        <w:pict>
          <v:rect style="width:0;height:1.5pt" o:hralign="center" o:hrstd="t" o:hr="t"/>
        </w:pict>
      </w:r>
    </w:p>
    <w:bookmarkEnd w:id="24"/>
    <w:bookmarkStart w:id="25" w:name="step-6-full-cross-part-roadmap-checklist"/>
    <w:p>
      <w:pPr>
        <w:pStyle w:val="Heading2"/>
      </w:pPr>
      <w:r>
        <w:t xml:space="preserve">Step 6 — Full Cross-Part Roadmap Checklist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skeleton, package structure, data folder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Steps 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JSON write + file 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Step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domain model + repository +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Steps 6–9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REST API + DTOs + 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Steps 10–12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Angular skeleton + Customer list/form/detail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Step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type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Steps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upload (multipart) service +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Step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rendering engine (Thymeleaf + OpenHTMLtoPDF)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Step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Step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+ Factory pattern for document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Step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Quotation generator (from your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template)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Steps 7–8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generator (from your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template)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Step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Consumer-Vendor Agreement generator (PM Surya Ghar Annexure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Step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 API + Angular Generate Document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Steps 11–12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DCR Declaration generator (worked 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3, Step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Annexure-I / Net Meter Agreement / Commissioning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3, Step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summary API + 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3, Step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export /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3, Step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Profile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3, Step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Catalog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3, Step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fingerprint + RSA-signed license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4, Steps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activation API + enforcement + Angular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4, Step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 backup +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4, Step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4, Step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logging (Logback)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4, Step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Bean Validation (GSTIN,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4, Step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PIN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4, Step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 field encryption (Aadhaar/PAN)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4, Step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Angular built into Spring Boot static resources + SPA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5, 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installer via</w:t>
            </w:r>
            <w:r>
              <w:t xml:space="preserve"> </w:t>
            </w:r>
            <w:r>
              <w:rPr>
                <w:rStyle w:val="VerbatimChar"/>
              </w:rPr>
              <w:t xml:space="preserve">jpackage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5, Step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tray icon + auto-open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5, Step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First-run data directory 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5, Step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Hardening/testing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5, Step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build, versioned installer, vendor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Print or copy this table into your own tracker and check items off as you implement them — it mirrors Section 30 of the original architecture document phase-for-phase.</w:t>
      </w:r>
    </w:p>
    <w:p>
      <w:r>
        <w:pict>
          <v:rect style="width:0;height:1.5pt" o:hralign="center" o:hrstd="t" o:hr="t"/>
        </w:pict>
      </w:r>
    </w:p>
    <w:bookmarkEnd w:id="25"/>
    <w:bookmarkStart w:id="26" w:name="whats-deliberately-left-as-a-later-stub"/>
    <w:p>
      <w:pPr>
        <w:pStyle w:val="Heading2"/>
      </w:pPr>
      <w:r>
        <w:t xml:space="preserve">What’s Deliberately Left as a</w:t>
      </w:r>
      <w:r>
        <w:t xml:space="preserve"> </w:t>
      </w:r>
      <w:r>
        <w:t xml:space="preserve">“</w:t>
      </w:r>
      <w:r>
        <w:t xml:space="preserve">Later</w:t>
      </w:r>
      <w:r>
        <w:t xml:space="preserve">”</w:t>
      </w:r>
      <w:r>
        <w:t xml:space="preserve"> </w:t>
      </w:r>
      <w:r>
        <w:t xml:space="preserve">Stub</w:t>
      </w:r>
    </w:p>
    <w:p>
      <w:pPr>
        <w:pStyle w:val="FirstParagraph"/>
      </w:pPr>
      <w:r>
        <w:t xml:space="preserve">Per Section 29 of the architecture (future/V2 scope), these were intentionally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built in Parts 1–5, since building them now would be premature: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infrastructure/ai/AiProviderGateway.java</w:t>
      </w:r>
      <w:r>
        <w:t xml:space="preserve"> </w:t>
      </w:r>
      <w:r>
        <w:t xml:space="preserve">— interface-only stub for a future AI-assisted document review/autofill feature</w:t>
      </w:r>
    </w:p>
    <w:p>
      <w:pPr>
        <w:numPr>
          <w:ilvl w:val="0"/>
          <w:numId w:val="1001"/>
        </w:numPr>
        <w:pStyle w:val="Compact"/>
      </w:pPr>
      <w:r>
        <w:t xml:space="preserve">Migration from JSON file storage to Postgres/cloud DB — the whole point of the Clean Architecture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/</w:t>
      </w:r>
      <w:r>
        <w:rPr>
          <w:rStyle w:val="VerbatimChar"/>
        </w:rPr>
        <w:t xml:space="preserve">application</w:t>
      </w:r>
      <w:r>
        <w:t xml:space="preserve">/</w:t>
      </w:r>
      <w:r>
        <w:rPr>
          <w:rStyle w:val="VerbatimChar"/>
        </w:rPr>
        <w:t xml:space="preserve">infrastructure</w:t>
      </w:r>
      <w:r>
        <w:t xml:space="preserve"> </w:t>
      </w:r>
      <w:r>
        <w:t xml:space="preserve">split in Part 1 is that this becomes</w:t>
      </w:r>
      <w:r>
        <w:t xml:space="preserve"> </w:t>
      </w:r>
      <w:r>
        <w:t xml:space="preserve">“</w:t>
      </w:r>
      <w:r>
        <w:t xml:space="preserve">add a new</w:t>
      </w:r>
      <w:r>
        <w:t xml:space="preserve"> </w:t>
      </w:r>
      <w:r>
        <w:rPr>
          <w:rStyle w:val="VerbatimChar"/>
        </w:rPr>
        <w:t xml:space="preserve">infrastructure.persistence.jpa</w:t>
      </w:r>
      <w:r>
        <w:t xml:space="preserve"> </w:t>
      </w:r>
      <w:r>
        <w:t xml:space="preserve">package + swap a Spring</w:t>
      </w:r>
      <w:r>
        <w:t xml:space="preserve"> </w:t>
      </w:r>
      <w:r>
        <w:rPr>
          <w:rStyle w:val="VerbatimChar"/>
        </w:rPr>
        <w:t xml:space="preserve">@Profile</w:t>
      </w:r>
      <w:r>
        <w:t xml:space="preserve">”</w:t>
      </w:r>
      <w:r>
        <w:t xml:space="preserve"> </w:t>
      </w:r>
      <w:r>
        <w:t xml:space="preserve">later, with zero changes above the</w:t>
      </w:r>
      <w:r>
        <w:t xml:space="preserve"> </w:t>
      </w:r>
      <w:r>
        <w:rPr>
          <w:rStyle w:val="VerbatimChar"/>
        </w:rPr>
        <w:t xml:space="preserve">application.ports</w:t>
      </w:r>
      <w:r>
        <w:t xml:space="preserve"> </w:t>
      </w:r>
      <w:r>
        <w:t xml:space="preserve">interfaces</w:t>
      </w:r>
    </w:p>
    <w:p>
      <w:pPr>
        <w:numPr>
          <w:ilvl w:val="0"/>
          <w:numId w:val="1001"/>
        </w:numPr>
        <w:pStyle w:val="Compact"/>
      </w:pPr>
      <w:r>
        <w:t xml:space="preserve">Multi-vendor/multi-tenant support —</w:t>
      </w:r>
      <w:r>
        <w:t xml:space="preserve"> </w:t>
      </w:r>
      <w:r>
        <w:rPr>
          <w:rStyle w:val="VerbatimChar"/>
        </w:rPr>
        <w:t xml:space="preserve">VendorProfile</w:t>
      </w:r>
      <w:r>
        <w:t xml:space="preserve"> </w:t>
      </w:r>
      <w:r>
        <w:t xml:space="preserve">is currently a JSON singleton; the ER model (Architecture Section 10) already reserves a</w:t>
      </w:r>
      <w:r>
        <w:t xml:space="preserve"> </w:t>
      </w:r>
      <w:r>
        <w:rPr>
          <w:rStyle w:val="VerbatimChar"/>
        </w:rPr>
        <w:t xml:space="preserve">vendor_id</w:t>
      </w:r>
      <w:r>
        <w:t xml:space="preserve"> </w:t>
      </w:r>
      <w:r>
        <w:t xml:space="preserve">foreign key on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for this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the 5-part SolarDocs implementation guide.</w:t>
      </w:r>
      <w:r>
        <w:t xml:space="preserve"> </w:t>
      </w:r>
      <w:r>
        <w:t xml:space="preserve">Build in order (Part 1 → Part 5), check off Step 6’s table as you go, and run the Step 5 hardening checklist before your first real vendor handoff.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SolarDocs — Implementation Guide, Part 5</dc:title>
  <dc:creator/>
  <cp:keywords/>
  <dcterms:created xsi:type="dcterms:W3CDTF">2026-07-18T22:14:43Z</dcterms:created>
  <dcterms:modified xsi:type="dcterms:W3CDTF">2026-07-18T22:14:43Z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Packaging, Installer, First-Run Wizard &amp; Roadmap Checklist — Phase 8, 9 &amp; 10</vt:lpwstr>
  </property>
</Properties>
</file>