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30"/>
          <w:szCs w:val="30"/>
        </w:rPr>
        <w:t xml:space="preserve">Week 1 — Dataset readiness note</w:t>
      </w:r>
    </w:p>
    <w:p>
      <w:pPr>
        <w:spacing w:after="120" w:before="0"/>
      </w:pPr>
      <w:r>
        <w:rPr>
          <w:rFonts w:ascii="Calibri" w:cs="Calibri" w:eastAsia="Calibri" w:hAnsi="Calibri"/>
          <w:color w:val="666666"/>
          <w:sz w:val="20"/>
          <w:szCs w:val="20"/>
        </w:rPr>
        <w:t xml:space="preserve">22AIE304 Deep Learning · End-semester project · Re-upload in this template due 23:59 IST, Monday 12 October 2026</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This template restructures the dataset readiness note of Handout §8. Every team re-uploads its note in this template to its team's Week 1 folder by 23:59 IST on Monday 12 October 2026, named T&lt;team&gt;_&lt;card&gt;_ReadinessNote.docx with a two-digit team number (for example T08_E2_ReadinessNote.docx). It asks for nothing your note was not already required to contain; move your existing content into the sections below. Where something was missing, add it. Keep each answer short: numbers, not prose. One page is the target in Handout §8; the tables may run onto a second page. A machine-readable attachment for counts is welcome, uploaded to the same folder; it does not count against the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Team number</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Card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Project title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Members (name, roll number)</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Original note submitted on</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Date of this re-upload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1. Numbers you got, against the manifest</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One row per figure your manifest lists (counts, sizes, shapes, class or event counts). Copy the manifest value and its evidence label exactly. "Match" is Yes or No. Explain every No in the last column: what you think caused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900"/>
        <w:gridCol w:w="273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Figure (from your manifest)</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Manifest value</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Your value</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Match</w:t>
            </w:r>
          </w:p>
        </w:tc>
        <w:tc>
          <w:tcPr>
            <w:tcW w:type="dxa" w:w="27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If not, likely cause</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2. Split unit and partitions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Declared split unit (one sentence)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How the validation partition was built</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Issued split file used (name, SHA-256 checked: Yes/No)</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Your independent reproduction matches the issued file? (Yes / No: number of samples that differ)</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spacing w:after="40" w:before="0"/>
      </w:pPr>
      <w:r>
        <w:rPr>
          <w:rFonts w:ascii="Calibri" w:cs="Calibri" w:eastAsia="Calibri" w:hAnsi="Calibri"/>
          <w:sz w:val="22"/>
          <w:szCs w:val="22"/>
        </w:rPr>
        <w:t xml:space="preserve"/>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Support in each partition. Classification: per-class counts (add rows). Regression and forecasting (Track C, D1–D3, I3): report cells, dates, regions or independent events instead; do not invent per-class counts. Units = the independent units (leaf groups, lots, patients, cells, recordings, scene groups, bearings,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3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Class / stratum</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Train</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Validation</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Test</w:t>
            </w:r>
          </w:p>
        </w:tc>
        <w:tc>
          <w:tcPr>
            <w:tcW w:type="dxa" w:w="23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Total</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All samples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Independent units</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23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3. Access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Source URL or route (as named on your card)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Login, API key or manual acceptance needed? Which?</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Integrity check done (hash or count) and result</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Confirm: no key or credential is in your repository</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4.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Python version</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Operating system</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Package versions used to parse the data (pinned)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5. Bytes</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Report all three where they differ. Transferred = what crossed the network. Peak temporary = the most held on disk at once during acquisition. Retained = what you keep to run the project (the Annex D0 cap of 5 GB applies to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Transferred bytes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Peak temporary bytes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Retained working bytes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6. Anything that surprised you</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A field you did not expect, a file that would not parse, a count that seemed off. "Nothing" is an acceptable answer if true.</w:t>
      </w:r>
    </w:p>
    <w:p>
      <w:pPr>
        <w:spacing w:after="80" w:before="0"/>
      </w:pPr>
      <w:r>
        <w:rPr>
          <w:rFonts w:ascii="Calibri" w:cs="Calibri" w:eastAsia="Calibri" w:hAnsi="Calibri"/>
          <w:color w:val="666666"/>
          <w:sz w:val="22"/>
          <w:szCs w:val="22"/>
        </w:rPr>
        <w:t xml:space="preserve">…</w:t>
      </w:r>
    </w:p>
    <w:p>
      <w:pPr>
        <w:pStyle w:val="Heading2"/>
        <w:spacing w:after="60" w:before="160"/>
      </w:pPr>
      <w:r>
        <w:rPr>
          <w:rFonts w:ascii="Calibri" w:cs="Calibri" w:eastAsia="Calibri" w:hAnsi="Calibri"/>
          <w:b/>
          <w:bCs/>
          <w:color w:val="1F3864"/>
          <w:sz w:val="24"/>
          <w:szCs w:val="24"/>
        </w:rPr>
        <w:t xml:space="preserve">7. Machine and timed reference run</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Run the reference configuration named for your card in Annex D0's Week-1 table, under the D0 limits. Do not compute or look at test labels or test metrics: time an inference pass over test-shaped data only. Beating a baseline is not a condition of this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Field</w:t>
            </w:r>
          </w:p>
        </w:tc>
        <w:tc>
          <w:tcPr>
            <w:tcW w:type="dxa" w:w="68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Entry</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Reference configuration run (copy the Annex D0 Week-1 entry)</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Hardware: CPU model, cores, RAM, OS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Thread setting and data-loader workers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Elapsed time of the fit</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Aggregate CPU time (main process + workers)</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Epochs and optimisation updates completed</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Limit that stopped the run: epochs / 30-min clock / early stopping</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Peak memory</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Evidence of optimisation (train and validation loss at start and end, or attach the curve)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Validation pass finished? Timed inference pass over test-shaped data finished? Its time</w:t>
            </w:r>
          </w:p>
        </w:tc>
        <w:tc>
          <w:tcPr>
            <w:tcW w:type="dxa" w:w="68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spacing w:after="40" w:before="0"/>
      </w:pPr>
      <w:r>
        <w:rPr>
          <w:rFonts w:ascii="Calibri" w:cs="Calibri" w:eastAsia="Calibri" w:hAnsi="Calibri"/>
          <w:sz w:val="22"/>
          <w:szCs w:val="22"/>
        </w:rPr>
        <w:t xml:space="preserve"/>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Project your whole required programme against the 24-hour elapsed budget. Use the stage Annex D0 tells you to time on a subset for the row marked "measured on a subset".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600"/>
        <w:gridCol w:w="3138"/>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Stage</w:t>
            </w:r>
          </w:p>
        </w:tc>
        <w:tc>
          <w:tcPr>
            <w:tcW w:type="dxa" w:w="1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Count</w:t>
            </w:r>
          </w:p>
        </w:tc>
        <w:tc>
          <w:tcPr>
            <w:tcW w:type="dxa" w:w="1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Elapsed per item</w:t>
            </w:r>
          </w:p>
        </w:tc>
        <w:tc>
          <w:tcPr>
            <w:tcW w:type="dxa" w:w="31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Projected elapsed total</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Preprocessing / acquisition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Required neural fits (count from Annex D0)</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Classical baselines (60-min allowance)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Repeated inference / evaluation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Stage measured on a subset (Annex D0, last column)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Total, against 24 h</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
            </w:r>
          </w:p>
        </w:tc>
        <w:tc>
          <w:tcPr>
            <w:tcW w:type="dxa" w:w="31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color w:val="666666"/>
                <w:sz w:val="20"/>
                <w:szCs w:val="20"/>
              </w:rPr>
              <w:t xml:space="preserve">…</w:t>
            </w:r>
          </w:p>
        </w:tc>
      </w:tr>
    </w:tbl>
    <w:p>
      <w:pPr>
        <w:pStyle w:val="Heading2"/>
        <w:spacing w:after="60" w:before="160"/>
      </w:pPr>
      <w:r>
        <w:rPr>
          <w:rFonts w:ascii="Calibri" w:cs="Calibri" w:eastAsia="Calibri" w:hAnsi="Calibri"/>
          <w:b/>
          <w:bCs/>
          <w:color w:val="1F3864"/>
          <w:sz w:val="24"/>
          <w:szCs w:val="24"/>
        </w:rPr>
        <w:t xml:space="preserve">8. Items your card asks for in addition</w:t>
      </w:r>
    </w:p>
    <w:p>
      <w:pPr>
        <w:spacing w:after="80" w:before="0"/>
      </w:pPr>
      <w:r>
        <w:rPr>
          <w:rFonts w:ascii="Calibri" w:cs="Calibri" w:eastAsia="Calibri" w:hAnsi="Calibri"/>
          <w:b/>
          <w:bCs/>
          <w:i/>
          <w:iCs/>
          <w:color w:val="666666"/>
          <w:sz w:val="19"/>
          <w:szCs w:val="19"/>
        </w:rPr>
        <w:t xml:space="preserve">Guidance — delete before submitting: </w:t>
      </w:r>
      <w:r>
        <w:rPr>
          <w:rFonts w:ascii="Calibri" w:cs="Calibri" w:eastAsia="Calibri" w:hAnsi="Calibri"/>
          <w:i/>
          <w:iCs/>
          <w:color w:val="666666"/>
          <w:sz w:val="19"/>
          <w:szCs w:val="19"/>
        </w:rPr>
        <w:t xml:space="preserve">Find your card below and answer each item it lists, here or in the attachment. Delete the other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Card</w:t>
            </w:r>
          </w:p>
        </w:tc>
        <w:tc>
          <w:tcPr>
            <w:tcW w:type="dxa" w:w="873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Calibri" w:cs="Calibri" w:eastAsia="Calibri" w:hAnsi="Calibri"/>
                <w:b/>
                <w:bCs/>
                <w:sz w:val="20"/>
                <w:szCs w:val="20"/>
              </w:rPr>
              <w:t xml:space="preserve">Also report</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A1</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Transferred archive bytes and retained bytes separately; Paderborn bearing counts (5 / 3 / 6) and your recording and window counts; that KI04 will be reported separately.</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A1, A2, A3</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The sixteen CWRU files checked against cwru_recordings.json; that 99.mat is read from X099_DE_time; your window counts against 527 / 139 / 155.</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A3</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The audit-protocol timing is training throughput only: no audit validation or test was run.</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B1</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Your Cropped-PlantDoc count (2,578: 2,342 / 236); the duplicate list; your label map as a file, and any disagreement with B1_common_label_map.csv.</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B2</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Your reproduction of PlantVillage_B2_alignment.csv, and the non-256×256 and single-channel segmented files you found.</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B3</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Your eligible class list against the 19 in Annex D2.</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C1–C3</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Your index and grid versions as read inside the files (ERSST v5); whether your grid subset matches the issued one; issue-month counts against 505 / 109 / 229 and 22 excluded.</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D1–D3</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Adjacency provenance: file, sensor order, threshold, directed or not, self-loop convention, edge count under that convention; that zeros are treated as missing. D1, D3: ARIMA timed on 20 sensors and projected to the full bank(s). D2: one geographic fit timed and projected to thirteen.</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E1–E3</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Which file you used (Kaggle or MIR) and both hashes; labelled 172,950 and unlabelled 638,507; 46,293 lots. E2: matched lot lists reproduced. E3: eligible pool after your carve (620,038).</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I1</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Development and fitting fragment counts (254 / 1,019); the 256-sample resampling and stream-window rules, with original-length distributions and their effect on calibration.</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I2</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Your label likelihood and filter policy; eligible records (21,375) by fold; that the official folds are patient-disjoint.</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I3</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Cell IDs and the exclusion list; the two flagged cells kept in the pool (2018-04-12 channel 46, 2017-06-30 channel 10); transferred, peak temporary and retained bytes.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I4-S</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τ and the histogram of best-match distances; scene groups, group count, patches per group; horizontal and vertical link counts; degenerate patch count; any patch you place differently from the issued files.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I5</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That the xeno-canto API key works; your usable-recording counts against Annex D8a; transferred bytes for the recordings fetched so far.</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I6</w:t>
            </w:r>
          </w:p>
        </w:tc>
        <w:tc>
          <w:tcPr>
            <w:tcW w:type="dxa" w:w="873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Calibri" w:hAnsi="Calibri"/>
                <w:b w:val="false"/>
                <w:bCs w:val="false"/>
                <w:sz w:val="20"/>
                <w:szCs w:val="20"/>
              </w:rPr>
              <w:t xml:space="preserve">Paired-parcel match rate; peak retained bytes for your largest region; that belle-ile was not used for development.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22AIE304 · Team __ · Card __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2026-10-09T19:51:25.057Z</dcterms:created>
  <dcterms:modified xsi:type="dcterms:W3CDTF">2026-10-09T19:51:25.065Z</dcterms:modified>
</cp:coreProperties>
</file>

<file path=docProps/custom.xml><?xml version="1.0" encoding="utf-8"?>
<Properties xmlns="http://schemas.openxmlformats.org/officeDocument/2006/custom-properties" xmlns:vt="http://schemas.openxmlformats.org/officeDocument/2006/docPropsVTypes"/>
</file>